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23B0E755" w14:textId="5163D1AB" w:rsidR="00531F8D" w:rsidRDefault="00531F8D" w:rsidP="00531F8D">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Winchester Christmas Market society trip</w:t>
            </w:r>
            <w:r w:rsidR="00F466CA">
              <w:rPr>
                <w:rFonts w:ascii="Verdana" w:eastAsia="Times New Roman" w:hAnsi="Verdana" w:cs="Times New Roman"/>
                <w:b/>
                <w:lang w:eastAsia="en-GB"/>
              </w:rPr>
              <w:t>.</w:t>
            </w:r>
          </w:p>
          <w:p w14:paraId="37492BF8" w14:textId="77777777" w:rsidR="00F466CA" w:rsidRDefault="00F466CA" w:rsidP="00531F8D">
            <w:pPr>
              <w:pStyle w:val="ListParagraph"/>
              <w:ind w:left="170"/>
              <w:rPr>
                <w:rFonts w:ascii="Verdana" w:eastAsia="Times New Roman" w:hAnsi="Verdana" w:cs="Times New Roman"/>
                <w:b/>
                <w:bCs/>
                <w:lang w:eastAsia="en-GB"/>
              </w:rPr>
            </w:pPr>
          </w:p>
          <w:p w14:paraId="69EB88E9" w14:textId="74E14002" w:rsidR="00F466CA" w:rsidRPr="00A156C3" w:rsidRDefault="00F466CA" w:rsidP="00531F8D">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 xml:space="preserve">We will be travelling to Winchester to walk around </w:t>
            </w:r>
            <w:r w:rsidR="000A3B99">
              <w:rPr>
                <w:rFonts w:ascii="Verdana" w:eastAsia="Times New Roman" w:hAnsi="Verdana" w:cs="Times New Roman"/>
                <w:b/>
                <w:bCs/>
                <w:lang w:eastAsia="en-GB"/>
              </w:rPr>
              <w:t>a</w:t>
            </w:r>
            <w:r w:rsidR="000A3B99">
              <w:rPr>
                <w:rFonts w:ascii="Verdana" w:eastAsia="Times New Roman" w:hAnsi="Verdana" w:cs="Times New Roman"/>
                <w:b/>
                <w:bCs/>
                <w:lang w:eastAsia="en-GB"/>
              </w:rPr>
              <w:t>nd</w:t>
            </w:r>
            <w:r w:rsidR="000A3B99">
              <w:rPr>
                <w:rFonts w:ascii="Verdana" w:eastAsia="Times New Roman" w:hAnsi="Verdana" w:cs="Times New Roman"/>
                <w:b/>
                <w:bCs/>
                <w:lang w:eastAsia="en-GB"/>
              </w:rPr>
              <w:t xml:space="preserve"> participate in the Market. </w:t>
            </w:r>
            <w:r w:rsidR="005B0D57">
              <w:rPr>
                <w:rFonts w:ascii="Verdana" w:eastAsia="Times New Roman" w:hAnsi="Verdana" w:cs="Times New Roman"/>
                <w:b/>
                <w:bCs/>
                <w:lang w:eastAsia="en-GB"/>
              </w:rPr>
              <w:t>(</w:t>
            </w:r>
            <w:r w:rsidR="000A3B99">
              <w:rPr>
                <w:rFonts w:ascii="Verdana" w:eastAsia="Times New Roman" w:hAnsi="Verdana" w:cs="Times New Roman"/>
                <w:b/>
                <w:bCs/>
                <w:lang w:eastAsia="en-GB"/>
              </w:rPr>
              <w:t>“Walk around” meaning f</w:t>
            </w:r>
            <w:r w:rsidR="005B0D57">
              <w:rPr>
                <w:rFonts w:ascii="Verdana" w:eastAsia="Times New Roman" w:hAnsi="Verdana" w:cs="Times New Roman"/>
                <w:b/>
                <w:bCs/>
                <w:lang w:eastAsia="en-GB"/>
              </w:rPr>
              <w:t xml:space="preserve">rom train station to market, then </w:t>
            </w:r>
            <w:r w:rsidR="000A3B99">
              <w:rPr>
                <w:rFonts w:ascii="Verdana" w:eastAsia="Times New Roman" w:hAnsi="Verdana" w:cs="Times New Roman"/>
                <w:b/>
                <w:bCs/>
                <w:lang w:eastAsia="en-GB"/>
              </w:rPr>
              <w:t xml:space="preserve">market </w:t>
            </w:r>
            <w:r w:rsidR="005B0D57">
              <w:rPr>
                <w:rFonts w:ascii="Verdana" w:eastAsia="Times New Roman" w:hAnsi="Verdana" w:cs="Times New Roman"/>
                <w:b/>
                <w:bCs/>
                <w:lang w:eastAsia="en-GB"/>
              </w:rPr>
              <w:t>to some shops i.e. Waterstones, charity shops etc</w:t>
            </w:r>
            <w:r w:rsidR="000A3B99">
              <w:rPr>
                <w:rFonts w:ascii="Verdana" w:eastAsia="Times New Roman" w:hAnsi="Verdana" w:cs="Times New Roman"/>
                <w:b/>
                <w:bCs/>
                <w:lang w:eastAsia="en-GB"/>
              </w:rPr>
              <w:t>.</w:t>
            </w:r>
            <w:r w:rsidR="005B0D57">
              <w:rPr>
                <w:rFonts w:ascii="Verdana" w:eastAsia="Times New Roman" w:hAnsi="Verdana" w:cs="Times New Roman"/>
                <w:b/>
                <w:bCs/>
                <w:lang w:eastAsia="en-GB"/>
              </w:rPr>
              <w:t xml:space="preserve">) </w:t>
            </w:r>
          </w:p>
          <w:p w14:paraId="3C5F03FD" w14:textId="768EB9A0" w:rsidR="00D95783" w:rsidRPr="00A156C3" w:rsidRDefault="00D95783" w:rsidP="00D95783">
            <w:pPr>
              <w:pStyle w:val="ListParagraph"/>
              <w:ind w:left="170"/>
              <w:rPr>
                <w:rFonts w:ascii="Verdana" w:eastAsia="Times New Roman" w:hAnsi="Verdana" w:cs="Times New Roman"/>
                <w:b/>
                <w:bCs/>
                <w:lang w:eastAsia="en-GB"/>
              </w:rPr>
            </w:pP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602D76">
              <w:rPr>
                <w:rFonts w:ascii="Verdana" w:eastAsia="Times New Roman" w:hAnsi="Verdana" w:cs="Times New Roman"/>
                <w:b/>
                <w:color w:val="000000" w:themeColor="text1"/>
                <w:highlight w:val="yellow"/>
                <w:lang w:eastAsia="en-GB"/>
              </w:rPr>
              <w:t>Date</w:t>
            </w:r>
          </w:p>
        </w:tc>
        <w:tc>
          <w:tcPr>
            <w:tcW w:w="732" w:type="pct"/>
            <w:shd w:val="clear" w:color="auto" w:fill="auto"/>
          </w:tcPr>
          <w:p w14:paraId="3C5F03FF" w14:textId="3FE32C67" w:rsidR="00D95783" w:rsidRPr="00A156C3" w:rsidRDefault="00531F8D"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07/12/24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B9E6DE4" w:rsidR="00D95783" w:rsidRPr="00A156C3" w:rsidRDefault="00531F8D" w:rsidP="00D95783">
            <w:pPr>
              <w:pStyle w:val="ListParagraph"/>
              <w:ind w:left="170"/>
              <w:rPr>
                <w:rFonts w:ascii="Verdana" w:eastAsia="Times New Roman" w:hAnsi="Verdana" w:cs="Times New Roman"/>
                <w:b/>
                <w:bCs/>
                <w:lang w:eastAsia="en-GB"/>
              </w:rPr>
            </w:pPr>
            <w:r>
              <w:rPr>
                <w:rFonts w:ascii="Verdana" w:hAnsi="Verdana" w:cs="Arial"/>
              </w:rPr>
              <w:t>Baking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732930D9" w:rsidR="00D95783" w:rsidRPr="00A156C3" w:rsidRDefault="00531F8D"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Jack Williamson (President)</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743A90AF" w:rsidR="00D95783" w:rsidRPr="00531F8D" w:rsidRDefault="00531F8D" w:rsidP="00D95783">
            <w:pPr>
              <w:pStyle w:val="ListParagraph"/>
              <w:ind w:left="170"/>
              <w:rPr>
                <w:rFonts w:ascii="Verdana" w:eastAsia="Times New Roman" w:hAnsi="Verdana" w:cs="Times New Roman"/>
                <w:lang w:eastAsia="en-GB"/>
              </w:rPr>
            </w:pPr>
            <w:r w:rsidRPr="00531F8D">
              <w:rPr>
                <w:rFonts w:ascii="Verdana" w:eastAsia="Times New Roman" w:hAnsi="Verdana" w:cs="Times New Roman"/>
                <w:lang w:eastAsia="en-GB"/>
              </w:rPr>
              <w:t>Jack Williamson</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56BE008A" w14:textId="1A2DCEB9" w:rsidR="00D95783" w:rsidRPr="00531F8D" w:rsidRDefault="00D95783" w:rsidP="00D95783">
            <w:pPr>
              <w:pStyle w:val="ListParagraph"/>
              <w:ind w:left="170"/>
              <w:rPr>
                <w:rFonts w:ascii="Verdana" w:eastAsia="Times New Roman" w:hAnsi="Verdana" w:cs="Times New Roman"/>
                <w:bCs/>
                <w:iCs/>
                <w:color w:val="000000" w:themeColor="text1"/>
                <w:lang w:eastAsia="en-GB"/>
              </w:rPr>
            </w:pPr>
            <w:r w:rsidRPr="00A760E3">
              <w:rPr>
                <w:rFonts w:ascii="Verdana" w:eastAsia="Times New Roman" w:hAnsi="Verdana" w:cs="Times New Roman"/>
                <w:b/>
                <w:i/>
                <w:color w:val="000000" w:themeColor="text1"/>
                <w:lang w:eastAsia="en-GB"/>
              </w:rPr>
              <w:t xml:space="preserve"> </w:t>
            </w:r>
            <w:r w:rsidR="00531F8D" w:rsidRPr="00531F8D">
              <w:rPr>
                <w:rFonts w:ascii="Verdana" w:eastAsia="Times New Roman" w:hAnsi="Verdana" w:cs="Times New Roman"/>
                <w:bCs/>
                <w:iCs/>
                <w:color w:val="000000" w:themeColor="text1"/>
                <w:lang w:eastAsia="en-GB"/>
              </w:rPr>
              <w:t>Yasmin Ball (Social and events secretary)</w:t>
            </w:r>
          </w:p>
          <w:p w14:paraId="3C5F040A" w14:textId="77777777" w:rsidR="00D95783" w:rsidRPr="00B817BD" w:rsidRDefault="00D95783" w:rsidP="00D95783">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33"/>
        <w:gridCol w:w="2698"/>
        <w:gridCol w:w="1913"/>
        <w:gridCol w:w="488"/>
        <w:gridCol w:w="488"/>
        <w:gridCol w:w="498"/>
        <w:gridCol w:w="2925"/>
        <w:gridCol w:w="488"/>
        <w:gridCol w:w="488"/>
        <w:gridCol w:w="488"/>
        <w:gridCol w:w="2882"/>
      </w:tblGrid>
      <w:tr w:rsidR="00C642F4" w14:paraId="3C5F040F" w14:textId="77777777" w:rsidTr="66AF0D26">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531F8D">
        <w:trPr>
          <w:tblHeader/>
        </w:trPr>
        <w:tc>
          <w:tcPr>
            <w:tcW w:w="208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531F8D">
        <w:trPr>
          <w:tblHeader/>
        </w:trPr>
        <w:tc>
          <w:tcPr>
            <w:tcW w:w="566"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6"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3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3"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531F8D">
        <w:trPr>
          <w:cantSplit/>
          <w:trHeight w:val="1510"/>
          <w:tblHeader/>
        </w:trPr>
        <w:tc>
          <w:tcPr>
            <w:tcW w:w="566" w:type="pct"/>
            <w:vMerge/>
          </w:tcPr>
          <w:p w14:paraId="3C5F0420" w14:textId="77777777" w:rsidR="00CE1AAA" w:rsidRDefault="00CE1AAA"/>
        </w:tc>
        <w:tc>
          <w:tcPr>
            <w:tcW w:w="886" w:type="pct"/>
            <w:vMerge/>
          </w:tcPr>
          <w:p w14:paraId="3C5F0421" w14:textId="77777777" w:rsidR="00CE1AAA" w:rsidRDefault="00CE1AAA"/>
        </w:tc>
        <w:tc>
          <w:tcPr>
            <w:tcW w:w="631"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3" w:type="pct"/>
            <w:vMerge/>
          </w:tcPr>
          <w:p w14:paraId="3C5F042A" w14:textId="77777777" w:rsidR="00CE1AAA" w:rsidRDefault="00CE1AAA"/>
        </w:tc>
      </w:tr>
      <w:tr w:rsidR="00724F7F" w14:paraId="3C5F0437" w14:textId="77777777" w:rsidTr="00531F8D">
        <w:trPr>
          <w:cantSplit/>
          <w:trHeight w:val="1296"/>
        </w:trPr>
        <w:tc>
          <w:tcPr>
            <w:tcW w:w="566" w:type="pct"/>
            <w:shd w:val="clear" w:color="auto" w:fill="FFFFFF" w:themeFill="background1"/>
          </w:tcPr>
          <w:p w14:paraId="3C5F042C" w14:textId="2329D2DC" w:rsidR="00CE1AAA" w:rsidRDefault="39159329">
            <w:r>
              <w:t xml:space="preserve">Road </w:t>
            </w:r>
            <w:r w:rsidR="008654F5">
              <w:t xml:space="preserve">traffic </w:t>
            </w:r>
            <w:r>
              <w:t>accident/ Walking between places</w:t>
            </w:r>
            <w:r w:rsidR="00F466CA">
              <w:t>.</w:t>
            </w:r>
          </w:p>
        </w:tc>
        <w:tc>
          <w:tcPr>
            <w:tcW w:w="886"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31"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9"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9"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7" w:type="pct"/>
            <w:shd w:val="clear" w:color="auto" w:fill="FFFFFF" w:themeFill="background1"/>
          </w:tcPr>
          <w:p w14:paraId="4511943D" w14:textId="699657D1" w:rsidR="00CE1AAA" w:rsidRPr="00957A37" w:rsidRDefault="39159329" w:rsidP="00A86253">
            <w:pPr>
              <w:pStyle w:val="NoSpacing"/>
              <w:numPr>
                <w:ilvl w:val="0"/>
                <w:numId w:val="15"/>
              </w:numPr>
            </w:pPr>
            <w:r w:rsidRPr="39159329">
              <w:t xml:space="preserve">People also briefed about the journeys before the event starts. </w:t>
            </w:r>
            <w:r w:rsidR="008654F5">
              <w:t xml:space="preserve">For example, </w:t>
            </w:r>
            <w:r w:rsidR="00512B52">
              <w:t>the</w:t>
            </w:r>
            <w:r w:rsidR="008654F5">
              <w:t xml:space="preserve"> list of venues will be printed on the score card or shared via social media. Event organisers to make it clear that travel to and from each venue is attendees’ </w:t>
            </w:r>
            <w:r w:rsidRPr="008654F5">
              <w:rPr>
                <w:b/>
                <w:bCs/>
              </w:rPr>
              <w:t>own responsibility</w:t>
            </w:r>
            <w:r w:rsidRPr="39159329">
              <w:t xml:space="preserve">. </w:t>
            </w:r>
          </w:p>
          <w:p w14:paraId="550A894C" w14:textId="6B9C96B9" w:rsidR="00CE1AAA" w:rsidRDefault="66AF0D26" w:rsidP="00A86253">
            <w:pPr>
              <w:pStyle w:val="NoSpacing"/>
              <w:numPr>
                <w:ilvl w:val="0"/>
                <w:numId w:val="15"/>
              </w:numPr>
              <w:rPr>
                <w:color w:val="000000" w:themeColor="text1"/>
              </w:rPr>
            </w:pPr>
            <w:r>
              <w:t xml:space="preserve">local </w:t>
            </w:r>
            <w:r w:rsidR="008654F5">
              <w:t xml:space="preserve">venues known to </w:t>
            </w:r>
            <w:proofErr w:type="spellStart"/>
            <w:r w:rsidR="008654F5">
              <w:t>UoS</w:t>
            </w:r>
            <w:proofErr w:type="spellEnd"/>
            <w:r w:rsidR="008654F5">
              <w:t xml:space="preserve"> students chosen </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434DD9AA" w:rsidR="002416C0" w:rsidRDefault="008654F5" w:rsidP="00A86253">
            <w:pPr>
              <w:pStyle w:val="NoSpacing"/>
              <w:numPr>
                <w:ilvl w:val="0"/>
                <w:numId w:val="15"/>
              </w:numPr>
              <w:rPr>
                <w:color w:val="000000" w:themeColor="text1"/>
              </w:rPr>
            </w:pPr>
            <w:r>
              <w:t>Attendees will be encouraged to identify a ‘buddy</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77777777"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proofErr w:type="gramStart"/>
            <w:r w:rsidRPr="66AF0D26">
              <w:t>in to</w:t>
            </w:r>
            <w:proofErr w:type="gramEnd"/>
            <w:r w:rsidRPr="66AF0D26">
              <w:t xml:space="preserve"> the road. </w:t>
            </w:r>
          </w:p>
          <w:p w14:paraId="015C6B66" w14:textId="77777777" w:rsidR="00BE4CFA" w:rsidRPr="00BE4CFA" w:rsidRDefault="66AF0D26" w:rsidP="00A86253">
            <w:pPr>
              <w:pStyle w:val="NoSpacing"/>
              <w:numPr>
                <w:ilvl w:val="0"/>
                <w:numId w:val="15"/>
              </w:numPr>
              <w:rPr>
                <w:color w:val="000000" w:themeColor="text1"/>
              </w:rPr>
            </w:pPr>
            <w:r w:rsidRPr="66AF0D26">
              <w:t xml:space="preserve">Be considerate of other pedestrians &amp; road users, keep disturbance &amp; noise down. </w:t>
            </w:r>
          </w:p>
          <w:p w14:paraId="10421017" w14:textId="005DA846" w:rsidR="002416C0" w:rsidRPr="00BE4CFA" w:rsidRDefault="66AF0D26" w:rsidP="00A86253">
            <w:pPr>
              <w:pStyle w:val="NoSpacing"/>
              <w:numPr>
                <w:ilvl w:val="0"/>
                <w:numId w:val="15"/>
              </w:numPr>
              <w:rPr>
                <w:color w:val="000000" w:themeColor="text1"/>
              </w:rPr>
            </w:pPr>
            <w:r w:rsidRPr="66AF0D26">
              <w:lastRenderedPageBreak/>
              <w:t xml:space="preserve">Avoid behaviour likely to provoke a disturbance or fights.  </w:t>
            </w:r>
          </w:p>
          <w:p w14:paraId="3C5F0432" w14:textId="7FBE030C" w:rsidR="002416C0" w:rsidRPr="00957A37" w:rsidRDefault="002416C0" w:rsidP="002416C0">
            <w:pPr>
              <w:pStyle w:val="NoSpacing"/>
            </w:pPr>
          </w:p>
        </w:tc>
        <w:tc>
          <w:tcPr>
            <w:tcW w:w="159"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9"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3EDD8DD0" w:rsidR="008654F5" w:rsidRDefault="008654F5" w:rsidP="00C92BF7">
            <w:pPr>
              <w:pStyle w:val="ListParagraph"/>
              <w:numPr>
                <w:ilvl w:val="0"/>
                <w:numId w:val="16"/>
              </w:numPr>
              <w:ind w:left="360"/>
            </w:pPr>
            <w:r w:rsidRPr="00C92BF7">
              <w:rPr>
                <w:color w:val="000000" w:themeColor="text1"/>
              </w:rPr>
              <w:t xml:space="preserve">Follow </w:t>
            </w:r>
            <w:hyperlink r:id="rId11" w:history="1">
              <w:r w:rsidRPr="003579B6">
                <w:rPr>
                  <w:rStyle w:val="Hyperlink"/>
                </w:rPr>
                <w:t>SUSU incident report policy</w:t>
              </w:r>
            </w:hyperlink>
          </w:p>
        </w:tc>
      </w:tr>
      <w:tr w:rsidR="00724F7F" w14:paraId="3C5F0443" w14:textId="77777777" w:rsidTr="00531F8D">
        <w:trPr>
          <w:cantSplit/>
          <w:trHeight w:val="1296"/>
        </w:trPr>
        <w:tc>
          <w:tcPr>
            <w:tcW w:w="566" w:type="pct"/>
            <w:shd w:val="clear" w:color="auto" w:fill="FFFFFF" w:themeFill="background1"/>
          </w:tcPr>
          <w:p w14:paraId="3C5F0438" w14:textId="33CDB195" w:rsidR="00CE1AAA" w:rsidRDefault="39159329">
            <w:r>
              <w:lastRenderedPageBreak/>
              <w:t xml:space="preserve">Spiked drinks/ Alcohol poisoning </w:t>
            </w:r>
          </w:p>
        </w:tc>
        <w:tc>
          <w:tcPr>
            <w:tcW w:w="886" w:type="pct"/>
            <w:shd w:val="clear" w:color="auto" w:fill="FFFFFF" w:themeFill="background1"/>
          </w:tcPr>
          <w:p w14:paraId="3C5F0439" w14:textId="08B264F6" w:rsidR="00CE1AAA" w:rsidRDefault="39159329">
            <w:r>
              <w:t>Participants may consume too much alcohol during this event or be spiked. This could result in a loss of consciousness or self- control</w:t>
            </w:r>
          </w:p>
        </w:tc>
        <w:tc>
          <w:tcPr>
            <w:tcW w:w="631" w:type="pct"/>
            <w:shd w:val="clear" w:color="auto" w:fill="FFFFFF" w:themeFill="background1"/>
          </w:tcPr>
          <w:p w14:paraId="3C5F043A" w14:textId="432823CE" w:rsidR="00CE1AAA" w:rsidRDefault="00BB37B8">
            <w:r>
              <w:t>Event organisers, event attendees,</w:t>
            </w:r>
          </w:p>
        </w:tc>
        <w:tc>
          <w:tcPr>
            <w:tcW w:w="159"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3C" w14:textId="4F6AC4B9"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3D" w14:textId="4FB6FE0C" w:rsidR="00CE1AAA" w:rsidRPr="00957A37" w:rsidRDefault="39159329" w:rsidP="39159329">
            <w:pPr>
              <w:rPr>
                <w:rFonts w:ascii="Lucida Sans" w:hAnsi="Lucida Sans"/>
                <w:b/>
                <w:bCs/>
              </w:rPr>
            </w:pPr>
            <w:r w:rsidRPr="39159329">
              <w:rPr>
                <w:rFonts w:ascii="Lucida Sans" w:hAnsi="Lucida Sans"/>
                <w:b/>
                <w:bCs/>
              </w:rPr>
              <w:t>10</w:t>
            </w:r>
          </w:p>
        </w:tc>
        <w:tc>
          <w:tcPr>
            <w:tcW w:w="987"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event </w:t>
            </w:r>
          </w:p>
          <w:p w14:paraId="60311B3A" w14:textId="149C9D27" w:rsidR="00CE1AAA" w:rsidRPr="00957A37" w:rsidRDefault="00F466CA" w:rsidP="66AF0D26">
            <w:pPr>
              <w:pStyle w:val="NoSpacing"/>
              <w:numPr>
                <w:ilvl w:val="0"/>
                <w:numId w:val="12"/>
              </w:numPr>
              <w:rPr>
                <w:color w:val="000000" w:themeColor="text1"/>
              </w:rPr>
            </w:pPr>
            <w:r>
              <w:t>Members of the committee</w:t>
            </w:r>
            <w:r w:rsidR="66AF0D26" w:rsidRPr="66AF0D26">
              <w:t xml:space="preserve"> </w:t>
            </w:r>
            <w:r w:rsidR="00827F31">
              <w:t xml:space="preserve">should </w:t>
            </w:r>
            <w:r w:rsidR="66AF0D26" w:rsidRPr="66AF0D26">
              <w:t xml:space="preserve">watch for excessive drinking and watch people who are believed to have consumed a lot of alcohol. </w:t>
            </w:r>
            <w:r w:rsidR="00827F31">
              <w:t xml:space="preserve">Report any suspicious behaviour to </w:t>
            </w:r>
            <w:r>
              <w:t>Market staff.</w:t>
            </w:r>
          </w:p>
          <w:p w14:paraId="6BBA3AF9" w14:textId="19910FC7" w:rsidR="66AF0D26" w:rsidRDefault="66AF0D26" w:rsidP="00A86253">
            <w:pPr>
              <w:pStyle w:val="NoSpacing"/>
              <w:numPr>
                <w:ilvl w:val="0"/>
                <w:numId w:val="15"/>
              </w:numPr>
              <w:rPr>
                <w:color w:val="000000" w:themeColor="text1"/>
              </w:rPr>
            </w:pPr>
            <w:r w:rsidRPr="66AF0D26">
              <w:t xml:space="preserve">Participants encouraged to stay </w:t>
            </w:r>
            <w:r w:rsidR="00827F31">
              <w:t xml:space="preserve">with a nominated ‘buddy’ where possible. </w:t>
            </w:r>
          </w:p>
          <w:p w14:paraId="7C3A4007" w14:textId="29972009" w:rsidR="002416C0" w:rsidRDefault="66AF0D26" w:rsidP="00A86253">
            <w:pPr>
              <w:pStyle w:val="NoSpacing"/>
              <w:numPr>
                <w:ilvl w:val="0"/>
                <w:numId w:val="15"/>
              </w:numPr>
              <w:rPr>
                <w:color w:val="000000" w:themeColor="text1"/>
              </w:rPr>
            </w:pPr>
            <w:r w:rsidRPr="66AF0D26">
              <w:t xml:space="preserve">The organizers have confirmed the premise is licensed. </w:t>
            </w:r>
          </w:p>
          <w:p w14:paraId="3C5F043E" w14:textId="07B8AD90" w:rsidR="002416C0" w:rsidRPr="00F466CA" w:rsidRDefault="66AF0D26" w:rsidP="00F466CA">
            <w:pPr>
              <w:pStyle w:val="NoSpacing"/>
              <w:numPr>
                <w:ilvl w:val="0"/>
                <w:numId w:val="15"/>
              </w:numPr>
              <w:rPr>
                <w:color w:val="000000" w:themeColor="text1"/>
              </w:rPr>
            </w:pPr>
            <w:r w:rsidRPr="66AF0D26">
              <w:t>The consumption of alcohol will take place at licensed premises. The conditions on the license will be adhered to and alcohol will not be served to customers who have drunk to excess. Action licens</w:t>
            </w:r>
            <w:r w:rsidR="00F466CA">
              <w:t>ee.</w:t>
            </w:r>
          </w:p>
        </w:tc>
        <w:tc>
          <w:tcPr>
            <w:tcW w:w="159"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3" w:type="pct"/>
            <w:shd w:val="clear" w:color="auto" w:fill="FFFFFF" w:themeFill="background1"/>
          </w:tcPr>
          <w:p w14:paraId="21A6F8CC" w14:textId="0EA72CA3" w:rsidR="66AF0D26" w:rsidRDefault="66AF0D26" w:rsidP="00827F31">
            <w:pPr>
              <w:pStyle w:val="ListParagraph"/>
              <w:numPr>
                <w:ilvl w:val="0"/>
                <w:numId w:val="9"/>
              </w:numPr>
            </w:pPr>
            <w:r w:rsidRPr="66AF0D26">
              <w:rPr>
                <w:rFonts w:ascii="Calibri" w:eastAsia="Times New Roman" w:hAnsi="Calibri" w:cs="Times New Roman"/>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66AF0D26">
              <w:t>. Taxis will be called if required</w:t>
            </w:r>
            <w:r w:rsidR="00F466CA">
              <w:t>.</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D308CE8" w14:textId="77777777" w:rsidR="00827F31" w:rsidRPr="00C92BF7" w:rsidRDefault="00827F31" w:rsidP="00827F31">
            <w:pPr>
              <w:pStyle w:val="ListParagraph"/>
              <w:numPr>
                <w:ilvl w:val="0"/>
                <w:numId w:val="9"/>
              </w:numPr>
              <w:rPr>
                <w:color w:val="000000" w:themeColor="text1"/>
              </w:rPr>
            </w:pPr>
            <w:r w:rsidRPr="00C92BF7">
              <w:rPr>
                <w:color w:val="000000" w:themeColor="text1"/>
              </w:rPr>
              <w:t xml:space="preserve">All incidents are to be reported on the as soon as possible ensuring the duty manager/health and </w:t>
            </w:r>
            <w:r w:rsidRPr="00C92BF7">
              <w:rPr>
                <w:color w:val="000000" w:themeColor="text1"/>
              </w:rPr>
              <w:lastRenderedPageBreak/>
              <w:t>safety officer have been informed.</w:t>
            </w:r>
          </w:p>
          <w:p w14:paraId="6665505B" w14:textId="77777777" w:rsidR="00827F31" w:rsidRPr="00BB37B8" w:rsidRDefault="00827F31" w:rsidP="00827F31">
            <w:pPr>
              <w:pStyle w:val="ListParagraph"/>
              <w:numPr>
                <w:ilvl w:val="0"/>
                <w:numId w:val="9"/>
              </w:numPr>
              <w:rPr>
                <w:rStyle w:val="Hyperlink"/>
                <w:color w:val="auto"/>
                <w:u w:val="none"/>
              </w:rPr>
            </w:pPr>
            <w:r w:rsidRPr="00C92BF7">
              <w:rPr>
                <w:color w:val="000000" w:themeColor="text1"/>
              </w:rPr>
              <w:t xml:space="preserve">Follow </w:t>
            </w:r>
            <w:hyperlink r:id="rId12" w:history="1">
              <w:r w:rsidRPr="003579B6">
                <w:rPr>
                  <w:rStyle w:val="Hyperlink"/>
                </w:rPr>
                <w:t>SUSU incident report policy</w:t>
              </w:r>
            </w:hyperlink>
          </w:p>
          <w:p w14:paraId="3C5F0442" w14:textId="05F36B3A" w:rsidR="00BB37B8" w:rsidRDefault="00BB37B8" w:rsidP="00BB37B8">
            <w:pPr>
              <w:pStyle w:val="ListParagraph"/>
            </w:pPr>
          </w:p>
        </w:tc>
      </w:tr>
      <w:tr w:rsidR="00724F7F" w14:paraId="3C5F044F" w14:textId="77777777" w:rsidTr="00531F8D">
        <w:trPr>
          <w:cantSplit/>
          <w:trHeight w:val="1296"/>
        </w:trPr>
        <w:tc>
          <w:tcPr>
            <w:tcW w:w="566"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6"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31"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9"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7"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77777777" w:rsidR="00BB37B8" w:rsidRPr="00BE4CFA" w:rsidRDefault="00BB37B8" w:rsidP="00BB37B8">
            <w:pPr>
              <w:pStyle w:val="NoSpacing"/>
              <w:numPr>
                <w:ilvl w:val="0"/>
                <w:numId w:val="17"/>
              </w:numPr>
              <w:rPr>
                <w:color w:val="000000" w:themeColor="text1"/>
              </w:rPr>
            </w:pPr>
            <w:r w:rsidRPr="66AF0D26">
              <w:t>Supervision, the event will be run by the society committee These attend each venue. Ideally, they will not drink</w:t>
            </w:r>
            <w:r>
              <w:t xml:space="preserve"> to excess</w:t>
            </w:r>
            <w:r w:rsidRPr="66AF0D26">
              <w:t xml:space="preserve"> during the event </w:t>
            </w:r>
          </w:p>
          <w:p w14:paraId="7445903D" w14:textId="066148A3" w:rsidR="00BB37B8" w:rsidRDefault="00BB37B8" w:rsidP="00BB37B8">
            <w:pPr>
              <w:pStyle w:val="ListParagraph"/>
              <w:numPr>
                <w:ilvl w:val="0"/>
                <w:numId w:val="17"/>
              </w:numPr>
            </w:pPr>
            <w:r>
              <w:t xml:space="preserve">Venues chosen local and within a short distance from each other. Will look to select venues known to </w:t>
            </w:r>
            <w:proofErr w:type="spellStart"/>
            <w:r>
              <w:t>UoS</w:t>
            </w:r>
            <w:proofErr w:type="spellEnd"/>
            <w:r>
              <w:t xml:space="preserve"> students and within student areas.</w:t>
            </w:r>
          </w:p>
          <w:p w14:paraId="3C5F044A" w14:textId="6B2A799D" w:rsidR="00BB37B8" w:rsidRPr="00957A37" w:rsidRDefault="00BB37B8" w:rsidP="00BB37B8">
            <w:pPr>
              <w:pStyle w:val="NoSpacing"/>
              <w:ind w:left="360"/>
            </w:pPr>
          </w:p>
        </w:tc>
        <w:tc>
          <w:tcPr>
            <w:tcW w:w="159"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59"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3" w:type="pct"/>
            <w:shd w:val="clear" w:color="auto" w:fill="FFFFFF" w:themeFill="background1"/>
          </w:tcPr>
          <w:p w14:paraId="60F3E3FA" w14:textId="77777777" w:rsidR="00CE1AAA" w:rsidRDefault="00BB37B8" w:rsidP="00BB37B8">
            <w:pPr>
              <w:pStyle w:val="ListParagraph"/>
              <w:numPr>
                <w:ilvl w:val="0"/>
                <w:numId w:val="17"/>
              </w:numPr>
              <w:rPr>
                <w:rStyle w:val="Hyperlink"/>
              </w:rPr>
            </w:pPr>
            <w:r w:rsidRPr="00C92BF7">
              <w:rPr>
                <w:color w:val="000000" w:themeColor="text1"/>
              </w:rPr>
              <w:t xml:space="preserve">Follow </w:t>
            </w:r>
            <w:hyperlink r:id="rId13" w:history="1">
              <w:r w:rsidRPr="003579B6">
                <w:rPr>
                  <w:rStyle w:val="Hyperlink"/>
                </w:rPr>
                <w:t>SUSU incident report policy</w:t>
              </w:r>
            </w:hyperlink>
          </w:p>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531F8D">
        <w:trPr>
          <w:cantSplit/>
          <w:trHeight w:val="1296"/>
        </w:trPr>
        <w:tc>
          <w:tcPr>
            <w:tcW w:w="566" w:type="pct"/>
            <w:shd w:val="clear" w:color="auto" w:fill="FFFFFF" w:themeFill="background1"/>
          </w:tcPr>
          <w:p w14:paraId="3C5F0450" w14:textId="62F9E86E" w:rsidR="00CE1AAA" w:rsidRDefault="39159329">
            <w:r>
              <w:lastRenderedPageBreak/>
              <w:t xml:space="preserve">Violent or offensive behaviour </w:t>
            </w:r>
          </w:p>
        </w:tc>
        <w:tc>
          <w:tcPr>
            <w:tcW w:w="886"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31" w:type="pct"/>
            <w:shd w:val="clear" w:color="auto" w:fill="FFFFFF" w:themeFill="background1"/>
          </w:tcPr>
          <w:p w14:paraId="3C5F0452" w14:textId="4BCD955C" w:rsidR="00CE1AAA" w:rsidRDefault="00724F7F" w:rsidP="39159329">
            <w:r>
              <w:t xml:space="preserve">Event organisers, event attendees,  </w:t>
            </w:r>
          </w:p>
        </w:tc>
        <w:tc>
          <w:tcPr>
            <w:tcW w:w="159" w:type="pct"/>
            <w:shd w:val="clear" w:color="auto" w:fill="FFFFFF" w:themeFill="background1"/>
          </w:tcPr>
          <w:p w14:paraId="3C5F0453" w14:textId="161050D5" w:rsidR="00CE1AAA" w:rsidRPr="00957A37" w:rsidRDefault="00531F8D" w:rsidP="39159329">
            <w:pPr>
              <w:rPr>
                <w:rFonts w:ascii="Lucida Sans" w:hAnsi="Lucida Sans"/>
                <w:b/>
                <w:bCs/>
              </w:rPr>
            </w:pPr>
            <w:r>
              <w:rPr>
                <w:rFonts w:ascii="Lucida Sans" w:hAnsi="Lucida Sans"/>
                <w:b/>
                <w:bCs/>
              </w:rPr>
              <w:t>1</w:t>
            </w:r>
          </w:p>
        </w:tc>
        <w:tc>
          <w:tcPr>
            <w:tcW w:w="159"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458730E6" w:rsidR="00CE1AAA" w:rsidRPr="00957A37" w:rsidRDefault="00531F8D" w:rsidP="39159329">
            <w:pPr>
              <w:rPr>
                <w:rFonts w:ascii="Lucida Sans" w:hAnsi="Lucida Sans"/>
                <w:b/>
                <w:bCs/>
              </w:rPr>
            </w:pPr>
            <w:r>
              <w:rPr>
                <w:rFonts w:ascii="Lucida Sans" w:hAnsi="Lucida Sans"/>
                <w:b/>
                <w:bCs/>
              </w:rPr>
              <w:t>5</w:t>
            </w:r>
          </w:p>
        </w:tc>
        <w:tc>
          <w:tcPr>
            <w:tcW w:w="987" w:type="pct"/>
            <w:shd w:val="clear" w:color="auto" w:fill="FFFFFF" w:themeFill="background1"/>
          </w:tcPr>
          <w:p w14:paraId="48673CEA" w14:textId="77777777" w:rsidR="00531F8D" w:rsidRPr="00531F8D" w:rsidRDefault="00531F8D" w:rsidP="00BB37B8">
            <w:pPr>
              <w:pStyle w:val="NoSpacing"/>
              <w:numPr>
                <w:ilvl w:val="0"/>
                <w:numId w:val="8"/>
              </w:numPr>
              <w:rPr>
                <w:color w:val="000000" w:themeColor="text1"/>
              </w:rPr>
            </w:pPr>
            <w:r>
              <w:t>Market staff at the venue to ensure appropriate behaviour</w:t>
            </w:r>
          </w:p>
          <w:p w14:paraId="1BA82A36" w14:textId="7108AC14" w:rsidR="00CE1AAA" w:rsidRDefault="00531F8D" w:rsidP="00BB37B8">
            <w:pPr>
              <w:pStyle w:val="NoSpacing"/>
              <w:numPr>
                <w:ilvl w:val="0"/>
                <w:numId w:val="8"/>
              </w:numPr>
              <w:rPr>
                <w:color w:val="000000" w:themeColor="text1"/>
              </w:rPr>
            </w:pPr>
            <w:r>
              <w:t>S</w:t>
            </w:r>
            <w:r w:rsidR="66AF0D26" w:rsidRPr="66AF0D26">
              <w:t xml:space="preserve">taff will need to be alerted and emergency services called as required. </w:t>
            </w:r>
          </w:p>
          <w:p w14:paraId="4C685CE9" w14:textId="62321810" w:rsidR="00BE4CFA" w:rsidRPr="00BB37B8" w:rsidRDefault="00BE4CFA" w:rsidP="00BB37B8">
            <w:pPr>
              <w:pStyle w:val="NoSpacing"/>
              <w:numPr>
                <w:ilvl w:val="0"/>
                <w:numId w:val="8"/>
              </w:numPr>
              <w:rPr>
                <w:color w:val="000000" w:themeColor="text1"/>
              </w:rPr>
            </w:pPr>
            <w:r w:rsidRPr="66AF0D26">
              <w:t>The consumption of alcohol will take place at licensed premises. The conditions on the license will be adhered to and alcohol will not be served to customers who have drunk to excess</w:t>
            </w:r>
          </w:p>
          <w:p w14:paraId="3C5F0456" w14:textId="26D55B21" w:rsidR="00BE4CFA" w:rsidRPr="00BB37B8" w:rsidRDefault="00BB37B8" w:rsidP="00BB37B8">
            <w:pPr>
              <w:pStyle w:val="NoSpacing"/>
              <w:numPr>
                <w:ilvl w:val="0"/>
                <w:numId w:val="8"/>
              </w:numPr>
            </w:pPr>
            <w:r w:rsidRPr="00BB37B8">
              <w:t xml:space="preserve">Society to follow and share with members Code of conduct/SUSU </w:t>
            </w:r>
            <w:hyperlink r:id="rId14" w:history="1">
              <w:r w:rsidRPr="00BB37B8">
                <w:rPr>
                  <w:rStyle w:val="Hyperlink"/>
                  <w:u w:val="none"/>
                </w:rPr>
                <w:t>Expect Respect policy</w:t>
              </w:r>
            </w:hyperlink>
          </w:p>
        </w:tc>
        <w:tc>
          <w:tcPr>
            <w:tcW w:w="159"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59" w14:textId="0826DF8C" w:rsidR="00CE1AAA" w:rsidRPr="00957A37" w:rsidRDefault="39159329" w:rsidP="39159329">
            <w:pPr>
              <w:rPr>
                <w:rFonts w:ascii="Lucida Sans" w:hAnsi="Lucida Sans"/>
                <w:b/>
                <w:bCs/>
              </w:rPr>
            </w:pPr>
            <w:r w:rsidRPr="39159329">
              <w:rPr>
                <w:rFonts w:ascii="Lucida Sans" w:hAnsi="Lucida Sans"/>
                <w:b/>
                <w:bCs/>
              </w:rPr>
              <w:t>5</w:t>
            </w:r>
          </w:p>
        </w:tc>
        <w:tc>
          <w:tcPr>
            <w:tcW w:w="973" w:type="pct"/>
            <w:shd w:val="clear" w:color="auto" w:fill="FFFFFF" w:themeFill="background1"/>
          </w:tcPr>
          <w:p w14:paraId="43581D2C" w14:textId="503F0114" w:rsidR="00CE1AAA" w:rsidRDefault="66AF0D26" w:rsidP="00724F7F">
            <w:pPr>
              <w:pStyle w:val="ListParagraph"/>
              <w:numPr>
                <w:ilvl w:val="0"/>
                <w:numId w:val="7"/>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5993FB08" w14:textId="77777777" w:rsidR="00724F7F" w:rsidRDefault="00724F7F" w:rsidP="00724F7F">
            <w:pPr>
              <w:pStyle w:val="ListParagraph"/>
              <w:numPr>
                <w:ilvl w:val="0"/>
                <w:numId w:val="7"/>
              </w:numPr>
              <w:rPr>
                <w:rStyle w:val="Hyperlink"/>
              </w:rPr>
            </w:pPr>
            <w:r w:rsidRPr="00C92BF7">
              <w:rPr>
                <w:color w:val="000000" w:themeColor="text1"/>
              </w:rPr>
              <w:t xml:space="preserve">Follow </w:t>
            </w:r>
            <w:hyperlink r:id="rId15" w:history="1">
              <w:r w:rsidRPr="003579B6">
                <w:rPr>
                  <w:rStyle w:val="Hyperlink"/>
                </w:rPr>
                <w:t>SUSU incident report policy</w:t>
              </w:r>
            </w:hyperlink>
          </w:p>
          <w:p w14:paraId="3C5F045A" w14:textId="1D1253F3" w:rsidR="00CE1AAA" w:rsidRDefault="00724F7F" w:rsidP="00724F7F">
            <w:pPr>
              <w:pStyle w:val="ListParagraph"/>
            </w:pPr>
            <w:r>
              <w:rPr>
                <w:color w:val="000000" w:themeColor="text1"/>
              </w:rPr>
              <w:t>Call emergency services as required</w:t>
            </w:r>
          </w:p>
        </w:tc>
      </w:tr>
      <w:tr w:rsidR="00724F7F" w14:paraId="3C5F0467" w14:textId="77777777" w:rsidTr="00531F8D">
        <w:trPr>
          <w:cantSplit/>
          <w:trHeight w:val="1296"/>
        </w:trPr>
        <w:tc>
          <w:tcPr>
            <w:tcW w:w="566" w:type="pct"/>
            <w:shd w:val="clear" w:color="auto" w:fill="FFFFFF" w:themeFill="background1"/>
          </w:tcPr>
          <w:p w14:paraId="3C5F045C" w14:textId="0FA17A1E" w:rsidR="00724F7F" w:rsidRDefault="00724F7F" w:rsidP="00724F7F">
            <w:r w:rsidRPr="00145FB8">
              <w:rPr>
                <w:color w:val="000000" w:themeColor="text1"/>
              </w:rPr>
              <w:lastRenderedPageBreak/>
              <w:t xml:space="preserve">Adverse Weather </w:t>
            </w:r>
          </w:p>
        </w:tc>
        <w:tc>
          <w:tcPr>
            <w:tcW w:w="886"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31" w:type="pct"/>
            <w:shd w:val="clear" w:color="auto" w:fill="FFFFFF" w:themeFill="background1"/>
          </w:tcPr>
          <w:p w14:paraId="3C5F045E" w14:textId="2AA75FE6" w:rsidR="00724F7F" w:rsidRDefault="00724F7F" w:rsidP="00724F7F">
            <w:r>
              <w:t xml:space="preserve">Event organisers, event attendees,  </w:t>
            </w:r>
          </w:p>
        </w:tc>
        <w:tc>
          <w:tcPr>
            <w:tcW w:w="159"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7"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the day</w:t>
            </w:r>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invites</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9"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9"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59"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531F8D">
        <w:trPr>
          <w:cantSplit/>
          <w:trHeight w:val="1296"/>
        </w:trPr>
        <w:tc>
          <w:tcPr>
            <w:tcW w:w="566" w:type="pct"/>
            <w:shd w:val="clear" w:color="auto" w:fill="FFFFFF" w:themeFill="background1"/>
          </w:tcPr>
          <w:p w14:paraId="11F83E41" w14:textId="1CC165EA" w:rsidR="00724F7F" w:rsidRDefault="00724F7F" w:rsidP="00724F7F">
            <w:r>
              <w:lastRenderedPageBreak/>
              <w:t xml:space="preserve">Falls/ slips </w:t>
            </w:r>
          </w:p>
        </w:tc>
        <w:tc>
          <w:tcPr>
            <w:tcW w:w="886" w:type="pct"/>
            <w:shd w:val="clear" w:color="auto" w:fill="FFFFFF" w:themeFill="background1"/>
          </w:tcPr>
          <w:p w14:paraId="55B5E3B6" w14:textId="77777777" w:rsidR="00724F7F" w:rsidRDefault="00724F7F" w:rsidP="00724F7F">
            <w:r>
              <w:t xml:space="preserve">Consumption of too much alcohol may result in participants falling and subsequently injuring themselves. </w:t>
            </w:r>
          </w:p>
          <w:p w14:paraId="61010CF0" w14:textId="77777777" w:rsidR="00531F8D" w:rsidRDefault="00531F8D" w:rsidP="00724F7F"/>
          <w:p w14:paraId="4A208183" w14:textId="77777777" w:rsidR="00531F8D" w:rsidRDefault="00531F8D" w:rsidP="00724F7F">
            <w:r>
              <w:t>Ice/frost on the ground might make the ground unsafe</w:t>
            </w:r>
          </w:p>
          <w:p w14:paraId="3CA02698" w14:textId="77777777" w:rsidR="00531F8D" w:rsidRDefault="00531F8D" w:rsidP="00724F7F"/>
          <w:p w14:paraId="6FD8C2F2" w14:textId="792C4E1B" w:rsidR="00531F8D" w:rsidRDefault="00531F8D" w:rsidP="00724F7F">
            <w:r>
              <w:t>Tripping on tables/chairs/other people</w:t>
            </w:r>
          </w:p>
        </w:tc>
        <w:tc>
          <w:tcPr>
            <w:tcW w:w="631" w:type="pct"/>
            <w:shd w:val="clear" w:color="auto" w:fill="FFFFFF" w:themeFill="background1"/>
          </w:tcPr>
          <w:p w14:paraId="65355B48" w14:textId="2A02E181" w:rsidR="00724F7F" w:rsidRDefault="00724F7F" w:rsidP="00724F7F">
            <w:r>
              <w:t xml:space="preserve">Event organisers, event attendees,  </w:t>
            </w:r>
          </w:p>
        </w:tc>
        <w:tc>
          <w:tcPr>
            <w:tcW w:w="159"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7"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00872665" w14:textId="4586EF7D" w:rsidR="00724F7F" w:rsidRPr="00BE4CFA" w:rsidRDefault="00531F8D" w:rsidP="00531F8D">
            <w:pPr>
              <w:pStyle w:val="NoSpacing"/>
              <w:numPr>
                <w:ilvl w:val="0"/>
                <w:numId w:val="22"/>
              </w:numPr>
              <w:rPr>
                <w:color w:val="000000" w:themeColor="text1"/>
              </w:rPr>
            </w:pPr>
            <w:r>
              <w:t xml:space="preserve">Market </w:t>
            </w:r>
            <w:r w:rsidR="00724F7F" w:rsidRPr="66AF0D26">
              <w:t>staff monitor the condition of the floors &amp; mop up split drinks.</w:t>
            </w:r>
          </w:p>
          <w:p w14:paraId="22F3E9F0" w14:textId="63AC5794" w:rsidR="00724F7F" w:rsidRPr="00531F8D" w:rsidRDefault="00531F8D" w:rsidP="00531F8D">
            <w:pPr>
              <w:pStyle w:val="NoSpacing"/>
              <w:numPr>
                <w:ilvl w:val="0"/>
                <w:numId w:val="22"/>
              </w:numPr>
              <w:rPr>
                <w:color w:val="000000" w:themeColor="text1"/>
              </w:rPr>
            </w:pPr>
            <w:r>
              <w:t xml:space="preserve">Market staff </w:t>
            </w:r>
            <w:proofErr w:type="spellStart"/>
            <w:r w:rsidR="00724F7F" w:rsidRPr="66AF0D26">
              <w:t>staff</w:t>
            </w:r>
            <w:proofErr w:type="spellEnd"/>
            <w:r w:rsidR="00724F7F" w:rsidRPr="66AF0D26">
              <w:t xml:space="preserve"> &amp; Bar Staff provide first aid cover.</w:t>
            </w:r>
          </w:p>
        </w:tc>
        <w:tc>
          <w:tcPr>
            <w:tcW w:w="159"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3" w:type="pct"/>
            <w:shd w:val="clear" w:color="auto" w:fill="FFFFFF" w:themeFill="background1"/>
          </w:tcPr>
          <w:p w14:paraId="644762B7" w14:textId="77777777" w:rsidR="00724F7F" w:rsidRDefault="00724F7F" w:rsidP="00724F7F">
            <w:pPr>
              <w:pStyle w:val="ListParagraph"/>
              <w:numPr>
                <w:ilvl w:val="0"/>
                <w:numId w:val="24"/>
              </w:numPr>
            </w:pPr>
            <w:r>
              <w:t xml:space="preserve">If necessary, emergency services will be called </w:t>
            </w:r>
          </w:p>
          <w:p w14:paraId="0DC4A0A5" w14:textId="77777777" w:rsidR="00724F7F" w:rsidRDefault="00724F7F" w:rsidP="00724F7F">
            <w:pPr>
              <w:pStyle w:val="ListParagraph"/>
              <w:numPr>
                <w:ilvl w:val="0"/>
                <w:numId w:val="24"/>
              </w:numPr>
            </w:pPr>
            <w:r>
              <w:t>Request first aid at venue</w:t>
            </w:r>
          </w:p>
          <w:p w14:paraId="4B539489" w14:textId="77777777" w:rsidR="00724F7F" w:rsidRDefault="00724F7F" w:rsidP="00724F7F">
            <w:pPr>
              <w:pStyle w:val="ListParagraph"/>
              <w:numPr>
                <w:ilvl w:val="0"/>
                <w:numId w:val="24"/>
              </w:numPr>
              <w:rPr>
                <w:rStyle w:val="Hyperlink"/>
              </w:rPr>
            </w:pPr>
            <w:r w:rsidRPr="00724F7F">
              <w:rPr>
                <w:color w:val="000000" w:themeColor="text1"/>
              </w:rPr>
              <w:t xml:space="preserve">Follow </w:t>
            </w:r>
            <w:hyperlink r:id="rId16" w:history="1">
              <w:r w:rsidRPr="003579B6">
                <w:rPr>
                  <w:rStyle w:val="Hyperlink"/>
                </w:rPr>
                <w:t>SUSU incident report policy</w:t>
              </w:r>
            </w:hyperlink>
          </w:p>
          <w:p w14:paraId="12C2339E" w14:textId="271939A1" w:rsidR="00724F7F" w:rsidRDefault="00724F7F" w:rsidP="00724F7F"/>
        </w:tc>
      </w:tr>
      <w:tr w:rsidR="00724F7F" w14:paraId="3C5F047F" w14:textId="77777777" w:rsidTr="00531F8D">
        <w:trPr>
          <w:cantSplit/>
          <w:trHeight w:val="1296"/>
        </w:trPr>
        <w:tc>
          <w:tcPr>
            <w:tcW w:w="566" w:type="pct"/>
            <w:shd w:val="clear" w:color="auto" w:fill="FFFFFF" w:themeFill="background1"/>
          </w:tcPr>
          <w:p w14:paraId="3C5F0474" w14:textId="4EE988B5" w:rsidR="00724F7F" w:rsidRDefault="00724F7F" w:rsidP="00724F7F">
            <w:r>
              <w:lastRenderedPageBreak/>
              <w:t xml:space="preserve">Allergies </w:t>
            </w:r>
          </w:p>
        </w:tc>
        <w:tc>
          <w:tcPr>
            <w:tcW w:w="886" w:type="pct"/>
            <w:shd w:val="clear" w:color="auto" w:fill="FFFFFF" w:themeFill="background1"/>
          </w:tcPr>
          <w:p w14:paraId="3C5F0475" w14:textId="13F8FDD9" w:rsidR="00724F7F" w:rsidRDefault="009374CA" w:rsidP="00724F7F">
            <w:r>
              <w:t>Allergic reactions to food and drink when out</w:t>
            </w:r>
          </w:p>
        </w:tc>
        <w:tc>
          <w:tcPr>
            <w:tcW w:w="631" w:type="pct"/>
            <w:shd w:val="clear" w:color="auto" w:fill="FFFFFF" w:themeFill="background1"/>
          </w:tcPr>
          <w:p w14:paraId="3C5F0476" w14:textId="2AB8B0FD" w:rsidR="00724F7F" w:rsidRDefault="00724F7F" w:rsidP="00724F7F">
            <w:r>
              <w:t xml:space="preserve">Event organisers, event attendees,  </w:t>
            </w:r>
          </w:p>
        </w:tc>
        <w:tc>
          <w:tcPr>
            <w:tcW w:w="159"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9"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7" w:type="pct"/>
            <w:shd w:val="clear" w:color="auto" w:fill="FFFFFF" w:themeFill="background1"/>
          </w:tcPr>
          <w:p w14:paraId="0636680A" w14:textId="2196D5CD" w:rsidR="00724F7F" w:rsidRDefault="00724F7F" w:rsidP="00724F7F">
            <w:pPr>
              <w:pStyle w:val="NoSpacing"/>
              <w:numPr>
                <w:ilvl w:val="0"/>
                <w:numId w:val="3"/>
              </w:numPr>
            </w:pPr>
            <w:r>
              <w:t xml:space="preserve">Attendees responsible for own welfare </w:t>
            </w:r>
            <w:r w:rsidR="00531F8D">
              <w:t xml:space="preserve">in </w:t>
            </w:r>
            <w:r>
              <w:t>such instances</w:t>
            </w:r>
            <w:r w:rsidR="009374CA">
              <w:t xml:space="preserve">- follow guidelines of venues </w:t>
            </w:r>
          </w:p>
          <w:p w14:paraId="56DAAD74" w14:textId="7A5B4FC3" w:rsidR="00724F7F" w:rsidRDefault="00724F7F" w:rsidP="00724F7F">
            <w:pPr>
              <w:pStyle w:val="NoSpacing"/>
              <w:numPr>
                <w:ilvl w:val="0"/>
                <w:numId w:val="3"/>
              </w:numPr>
            </w:pPr>
            <w:r>
              <w:t xml:space="preserve">First aid requested from </w:t>
            </w:r>
            <w:r w:rsidR="00531F8D">
              <w:t xml:space="preserve">market </w:t>
            </w:r>
            <w:r>
              <w:t xml:space="preserve">staff as required </w:t>
            </w:r>
          </w:p>
          <w:p w14:paraId="3C5F047A" w14:textId="01D155F1" w:rsidR="00724F7F" w:rsidRDefault="00724F7F" w:rsidP="009374CA">
            <w:pPr>
              <w:pStyle w:val="NoSpacing"/>
              <w:ind w:left="720"/>
            </w:pPr>
          </w:p>
        </w:tc>
        <w:tc>
          <w:tcPr>
            <w:tcW w:w="159"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9"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59"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3"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F466CA" w14:paraId="55454B6E" w14:textId="77777777" w:rsidTr="00531F8D">
        <w:trPr>
          <w:cantSplit/>
          <w:trHeight w:val="1296"/>
        </w:trPr>
        <w:tc>
          <w:tcPr>
            <w:tcW w:w="566" w:type="pct"/>
            <w:shd w:val="clear" w:color="auto" w:fill="FFFFFF" w:themeFill="background1"/>
          </w:tcPr>
          <w:p w14:paraId="41BDFF32" w14:textId="6B6616F1" w:rsidR="00F466CA" w:rsidRDefault="00F466CA" w:rsidP="00724F7F">
            <w:r>
              <w:t>Train delays/cancellations</w:t>
            </w:r>
          </w:p>
        </w:tc>
        <w:tc>
          <w:tcPr>
            <w:tcW w:w="886" w:type="pct"/>
            <w:shd w:val="clear" w:color="auto" w:fill="FFFFFF" w:themeFill="background1"/>
          </w:tcPr>
          <w:p w14:paraId="0B684A62" w14:textId="77777777" w:rsidR="00F466CA" w:rsidRDefault="00F466CA" w:rsidP="00724F7F">
            <w:r>
              <w:t>Members are split off from the group.</w:t>
            </w:r>
          </w:p>
          <w:p w14:paraId="1D9C1686" w14:textId="77777777" w:rsidR="00F466CA" w:rsidRDefault="00F466CA" w:rsidP="00724F7F">
            <w:r>
              <w:t>Members are unable to return to Southampton</w:t>
            </w:r>
          </w:p>
          <w:p w14:paraId="30F40977" w14:textId="7F39B4BC" w:rsidR="00F466CA" w:rsidRDefault="00F466CA" w:rsidP="00724F7F">
            <w:r>
              <w:t>Members cannot travel to Winchester</w:t>
            </w:r>
          </w:p>
        </w:tc>
        <w:tc>
          <w:tcPr>
            <w:tcW w:w="631" w:type="pct"/>
            <w:shd w:val="clear" w:color="auto" w:fill="FFFFFF" w:themeFill="background1"/>
          </w:tcPr>
          <w:p w14:paraId="359A788E" w14:textId="702C42D0" w:rsidR="00F466CA" w:rsidRDefault="00F466CA" w:rsidP="00724F7F">
            <w:r>
              <w:t>Event Organisers</w:t>
            </w:r>
            <w:r w:rsidR="002A4E9A">
              <w:t>,</w:t>
            </w:r>
          </w:p>
          <w:p w14:paraId="28D00F04" w14:textId="2AF0FE9A" w:rsidR="00F466CA" w:rsidRDefault="00F466CA" w:rsidP="00724F7F">
            <w:r>
              <w:t>Attendees</w:t>
            </w:r>
            <w:r w:rsidR="002A4E9A">
              <w:t>,</w:t>
            </w:r>
          </w:p>
          <w:p w14:paraId="1D1BEE14" w14:textId="5F0E375A" w:rsidR="00F466CA" w:rsidRDefault="00F466CA" w:rsidP="00724F7F">
            <w:r>
              <w:t>Members of public</w:t>
            </w:r>
          </w:p>
        </w:tc>
        <w:tc>
          <w:tcPr>
            <w:tcW w:w="159" w:type="pct"/>
            <w:shd w:val="clear" w:color="auto" w:fill="FFFFFF" w:themeFill="background1"/>
          </w:tcPr>
          <w:p w14:paraId="5389328E" w14:textId="3F6E5A87" w:rsidR="00F466CA" w:rsidRPr="39159329" w:rsidRDefault="00F466CA" w:rsidP="00724F7F">
            <w:pPr>
              <w:rPr>
                <w:rFonts w:ascii="Lucida Sans" w:hAnsi="Lucida Sans"/>
                <w:b/>
                <w:bCs/>
              </w:rPr>
            </w:pPr>
            <w:r>
              <w:rPr>
                <w:rFonts w:ascii="Lucida Sans" w:hAnsi="Lucida Sans"/>
                <w:b/>
                <w:bCs/>
              </w:rPr>
              <w:t>1</w:t>
            </w:r>
          </w:p>
        </w:tc>
        <w:tc>
          <w:tcPr>
            <w:tcW w:w="159" w:type="pct"/>
            <w:shd w:val="clear" w:color="auto" w:fill="FFFFFF" w:themeFill="background1"/>
          </w:tcPr>
          <w:p w14:paraId="516561C1" w14:textId="0793B6ED" w:rsidR="00F466CA" w:rsidRPr="39159329" w:rsidRDefault="00F466CA" w:rsidP="00724F7F">
            <w:pPr>
              <w:rPr>
                <w:rFonts w:ascii="Lucida Sans" w:hAnsi="Lucida Sans"/>
                <w:b/>
                <w:bCs/>
              </w:rPr>
            </w:pPr>
            <w:r>
              <w:rPr>
                <w:rFonts w:ascii="Lucida Sans" w:hAnsi="Lucida Sans"/>
                <w:b/>
                <w:bCs/>
              </w:rPr>
              <w:t>4</w:t>
            </w:r>
          </w:p>
        </w:tc>
        <w:tc>
          <w:tcPr>
            <w:tcW w:w="162" w:type="pct"/>
            <w:shd w:val="clear" w:color="auto" w:fill="FFFFFF" w:themeFill="background1"/>
          </w:tcPr>
          <w:p w14:paraId="3963FFBB" w14:textId="48DD5952" w:rsidR="00F466CA" w:rsidRPr="39159329" w:rsidRDefault="00F466CA" w:rsidP="00724F7F">
            <w:pPr>
              <w:rPr>
                <w:rFonts w:ascii="Lucida Sans" w:hAnsi="Lucida Sans"/>
                <w:b/>
                <w:bCs/>
              </w:rPr>
            </w:pPr>
            <w:r>
              <w:rPr>
                <w:rFonts w:ascii="Lucida Sans" w:hAnsi="Lucida Sans"/>
                <w:b/>
                <w:bCs/>
              </w:rPr>
              <w:t>4</w:t>
            </w:r>
          </w:p>
        </w:tc>
        <w:tc>
          <w:tcPr>
            <w:tcW w:w="987" w:type="pct"/>
            <w:shd w:val="clear" w:color="auto" w:fill="FFFFFF" w:themeFill="background1"/>
          </w:tcPr>
          <w:p w14:paraId="14FDCDE1" w14:textId="77777777" w:rsidR="00F466CA" w:rsidRDefault="00F466CA" w:rsidP="00724F7F">
            <w:pPr>
              <w:pStyle w:val="NoSpacing"/>
              <w:numPr>
                <w:ilvl w:val="0"/>
                <w:numId w:val="3"/>
              </w:numPr>
            </w:pPr>
            <w:r>
              <w:t xml:space="preserve">Organise possible alternative means of transportation such as the option to take a coach or a bus. </w:t>
            </w:r>
          </w:p>
          <w:p w14:paraId="3FC53686" w14:textId="17B744E7" w:rsidR="00F466CA" w:rsidRDefault="00F466CA" w:rsidP="00724F7F">
            <w:pPr>
              <w:pStyle w:val="NoSpacing"/>
              <w:numPr>
                <w:ilvl w:val="0"/>
                <w:numId w:val="3"/>
              </w:numPr>
            </w:pPr>
            <w:r>
              <w:t xml:space="preserve">Ensure relevant train services are running in order to mitigate any possible </w:t>
            </w:r>
            <w:r w:rsidR="002A4E9A">
              <w:t>impact on travel and reorganise asap.</w:t>
            </w:r>
          </w:p>
          <w:p w14:paraId="4C5681E0" w14:textId="44E0029E" w:rsidR="00F466CA" w:rsidRDefault="00F466CA" w:rsidP="00F466CA">
            <w:pPr>
              <w:pStyle w:val="NoSpacing"/>
              <w:ind w:left="720"/>
            </w:pPr>
          </w:p>
        </w:tc>
        <w:tc>
          <w:tcPr>
            <w:tcW w:w="159" w:type="pct"/>
            <w:shd w:val="clear" w:color="auto" w:fill="FFFFFF" w:themeFill="background1"/>
          </w:tcPr>
          <w:p w14:paraId="2DC13928" w14:textId="60D1455B" w:rsidR="00F466CA" w:rsidRPr="39159329" w:rsidRDefault="00F466CA" w:rsidP="00724F7F">
            <w:pPr>
              <w:rPr>
                <w:rFonts w:ascii="Lucida Sans" w:hAnsi="Lucida Sans"/>
                <w:b/>
                <w:bCs/>
              </w:rPr>
            </w:pPr>
            <w:r>
              <w:rPr>
                <w:rFonts w:ascii="Lucida Sans" w:hAnsi="Lucida Sans"/>
                <w:b/>
                <w:bCs/>
              </w:rPr>
              <w:t>1</w:t>
            </w:r>
          </w:p>
        </w:tc>
        <w:tc>
          <w:tcPr>
            <w:tcW w:w="159" w:type="pct"/>
            <w:shd w:val="clear" w:color="auto" w:fill="FFFFFF" w:themeFill="background1"/>
          </w:tcPr>
          <w:p w14:paraId="68BA71A5" w14:textId="575EABB8" w:rsidR="00F466CA" w:rsidRPr="39159329" w:rsidRDefault="00F466CA" w:rsidP="00724F7F">
            <w:pPr>
              <w:rPr>
                <w:rFonts w:ascii="Lucida Sans" w:hAnsi="Lucida Sans"/>
                <w:b/>
                <w:bCs/>
              </w:rPr>
            </w:pPr>
            <w:r>
              <w:rPr>
                <w:rFonts w:ascii="Lucida Sans" w:hAnsi="Lucida Sans"/>
                <w:b/>
                <w:bCs/>
              </w:rPr>
              <w:t>2</w:t>
            </w:r>
          </w:p>
        </w:tc>
        <w:tc>
          <w:tcPr>
            <w:tcW w:w="159" w:type="pct"/>
            <w:shd w:val="clear" w:color="auto" w:fill="FFFFFF" w:themeFill="background1"/>
          </w:tcPr>
          <w:p w14:paraId="53A6B709" w14:textId="65EE8EC1" w:rsidR="00F466CA" w:rsidRPr="39159329" w:rsidRDefault="00F466CA" w:rsidP="00724F7F">
            <w:pPr>
              <w:rPr>
                <w:rFonts w:ascii="Lucida Sans" w:hAnsi="Lucida Sans"/>
                <w:b/>
                <w:bCs/>
              </w:rPr>
            </w:pPr>
            <w:r>
              <w:rPr>
                <w:rFonts w:ascii="Lucida Sans" w:hAnsi="Lucida Sans"/>
                <w:b/>
                <w:bCs/>
              </w:rPr>
              <w:t>2</w:t>
            </w:r>
          </w:p>
        </w:tc>
        <w:tc>
          <w:tcPr>
            <w:tcW w:w="973" w:type="pct"/>
            <w:shd w:val="clear" w:color="auto" w:fill="FFFFFF" w:themeFill="background1"/>
          </w:tcPr>
          <w:p w14:paraId="3DC8A3EB" w14:textId="080CE66B" w:rsidR="00F466CA" w:rsidRPr="66AF0D26" w:rsidRDefault="002A4E9A" w:rsidP="00724F7F">
            <w:pPr>
              <w:pStyle w:val="ListParagraph"/>
              <w:numPr>
                <w:ilvl w:val="0"/>
                <w:numId w:val="6"/>
              </w:numPr>
            </w:pPr>
            <w:r>
              <w:t>Check train services a week before hand to ensure no strikes are happening.</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756"/>
        <w:gridCol w:w="1778"/>
        <w:gridCol w:w="125"/>
        <w:gridCol w:w="1129"/>
        <w:gridCol w:w="1018"/>
        <w:gridCol w:w="4203"/>
        <w:gridCol w:w="1710"/>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21CA4D7E">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21CA4D7E">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602" w:type="pct"/>
          </w:tcPr>
          <w:p w14:paraId="3C5F048F" w14:textId="3EC255DB" w:rsidR="00C642F4" w:rsidRPr="00957A37" w:rsidRDefault="00531F8D"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Jack</w:t>
            </w:r>
          </w:p>
        </w:tc>
        <w:tc>
          <w:tcPr>
            <w:tcW w:w="319" w:type="pct"/>
            <w:gridSpan w:val="2"/>
          </w:tcPr>
          <w:p w14:paraId="3C5F0490" w14:textId="3BCBF4B3" w:rsidR="00C642F4" w:rsidRPr="00957A37" w:rsidRDefault="00531F8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30/11</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21CA4D7E">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D836FA9"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602" w:type="pct"/>
          </w:tcPr>
          <w:p w14:paraId="3C5F0496" w14:textId="19F4D8AD" w:rsidR="00C642F4" w:rsidRPr="00957A37" w:rsidRDefault="21CA4D7E" w:rsidP="21CA4D7E">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sidR="00531F8D">
              <w:rPr>
                <w:rFonts w:ascii="Lucida Sans" w:eastAsia="Times New Roman" w:hAnsi="Lucida Sans" w:cs="Arial"/>
                <w:color w:val="000000" w:themeColor="text1"/>
              </w:rPr>
              <w:t>Jack</w:t>
            </w:r>
          </w:p>
        </w:tc>
        <w:tc>
          <w:tcPr>
            <w:tcW w:w="319" w:type="pct"/>
            <w:gridSpan w:val="2"/>
          </w:tcPr>
          <w:p w14:paraId="3C5F0497" w14:textId="79D6EBC2" w:rsidR="00C642F4" w:rsidRPr="00957A37" w:rsidRDefault="00531F8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30/11</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21CA4D7E">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5305A7DE"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602" w:type="pct"/>
          </w:tcPr>
          <w:p w14:paraId="3C5F049D" w14:textId="6BABFF73" w:rsidR="00C642F4" w:rsidRPr="00957A37" w:rsidRDefault="00531F8D" w:rsidP="21CA4D7E">
            <w:pPr>
              <w:autoSpaceDE w:val="0"/>
              <w:autoSpaceDN w:val="0"/>
              <w:adjustRightInd w:val="0"/>
              <w:spacing w:after="0" w:line="240" w:lineRule="auto"/>
              <w:rPr>
                <w:rFonts w:ascii="Lucida Sans" w:eastAsia="Times New Roman" w:hAnsi="Lucida Sans" w:cs="Arial"/>
                <w:color w:val="000000" w:themeColor="text1"/>
              </w:rPr>
            </w:pPr>
            <w:r>
              <w:rPr>
                <w:rFonts w:ascii="Lucida Sans" w:eastAsia="Times New Roman" w:hAnsi="Lucida Sans" w:cs="Arial"/>
                <w:color w:val="000000" w:themeColor="text1"/>
              </w:rPr>
              <w:t>Jack</w:t>
            </w:r>
          </w:p>
        </w:tc>
        <w:tc>
          <w:tcPr>
            <w:tcW w:w="319" w:type="pct"/>
            <w:gridSpan w:val="2"/>
          </w:tcPr>
          <w:p w14:paraId="3C5F049E" w14:textId="54A1946C" w:rsidR="00C642F4" w:rsidRPr="00957A37" w:rsidRDefault="00531F8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30/11</w:t>
            </w: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21CA4D7E">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07F44D17" w:rsidR="00C642F4" w:rsidRPr="00957A37" w:rsidRDefault="39159329" w:rsidP="39159329">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602" w:type="pct"/>
          </w:tcPr>
          <w:p w14:paraId="3C5F04A4" w14:textId="784F7BD9" w:rsidR="00C642F4" w:rsidRPr="00957A37" w:rsidRDefault="00531F8D" w:rsidP="39159329">
            <w:pPr>
              <w:autoSpaceDE w:val="0"/>
              <w:autoSpaceDN w:val="0"/>
              <w:adjustRightInd w:val="0"/>
              <w:spacing w:after="0" w:line="240" w:lineRule="auto"/>
              <w:outlineLvl w:val="0"/>
              <w:rPr>
                <w:rFonts w:ascii="Lucida Sans" w:eastAsia="Times New Roman" w:hAnsi="Lucida Sans" w:cs="Arial"/>
                <w:color w:val="000000" w:themeColor="text1"/>
              </w:rPr>
            </w:pPr>
            <w:proofErr w:type="spellStart"/>
            <w:r>
              <w:rPr>
                <w:rFonts w:ascii="Lucida Sans" w:eastAsia="Times New Roman" w:hAnsi="Lucida Sans" w:cs="Arial"/>
                <w:color w:val="000000" w:themeColor="text1"/>
              </w:rPr>
              <w:t>Esmay</w:t>
            </w:r>
            <w:proofErr w:type="spellEnd"/>
            <w:r>
              <w:rPr>
                <w:rFonts w:ascii="Lucida Sans" w:eastAsia="Times New Roman" w:hAnsi="Lucida Sans" w:cs="Arial"/>
                <w:color w:val="000000" w:themeColor="text1"/>
              </w:rPr>
              <w:t xml:space="preserve"> (Welfare Secretary)</w:t>
            </w:r>
          </w:p>
        </w:tc>
        <w:tc>
          <w:tcPr>
            <w:tcW w:w="319" w:type="pct"/>
            <w:gridSpan w:val="2"/>
          </w:tcPr>
          <w:p w14:paraId="3C5F04A5" w14:textId="1B3D345D" w:rsidR="00C642F4" w:rsidRPr="00957A37" w:rsidRDefault="00531F8D"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30/11</w:t>
            </w: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21CA4D7E">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65810DD3" w:rsidR="00C642F4" w:rsidRPr="00957A37" w:rsidRDefault="009374CA" w:rsidP="66AF0D26">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602" w:type="pct"/>
          </w:tcPr>
          <w:p w14:paraId="3C5F04AB" w14:textId="6C20D34E" w:rsidR="00C642F4" w:rsidRPr="00957A37" w:rsidRDefault="00531F8D" w:rsidP="66AF0D26">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Jack</w:t>
            </w:r>
          </w:p>
        </w:tc>
        <w:tc>
          <w:tcPr>
            <w:tcW w:w="319" w:type="pct"/>
            <w:gridSpan w:val="2"/>
          </w:tcPr>
          <w:p w14:paraId="3C5F04AC" w14:textId="52731D0A" w:rsidR="00C642F4" w:rsidRPr="00957A37" w:rsidRDefault="00F466CA"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4/12</w:t>
            </w: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21CA4D7E">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6D0C081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019F552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5892FB0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21CA4D7E">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21CA4D7E">
        <w:trPr>
          <w:cantSplit/>
        </w:trPr>
        <w:tc>
          <w:tcPr>
            <w:tcW w:w="2675" w:type="pct"/>
            <w:gridSpan w:val="5"/>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tc>
      </w:tr>
      <w:tr w:rsidR="00C642F4" w:rsidRPr="00957A37" w14:paraId="3C5F04C7" w14:textId="77777777" w:rsidTr="21CA4D7E">
        <w:trPr>
          <w:cantSplit/>
          <w:trHeight w:val="606"/>
        </w:trPr>
        <w:tc>
          <w:tcPr>
            <w:tcW w:w="2421" w:type="pct"/>
            <w:gridSpan w:val="4"/>
            <w:tcBorders>
              <w:top w:val="nil"/>
              <w:right w:val="nil"/>
            </w:tcBorders>
          </w:tcPr>
          <w:p w14:paraId="3C5F04C3" w14:textId="2A684F8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466CA">
              <w:rPr>
                <w:rFonts w:ascii="Lucida Sans" w:eastAsia="Times New Roman" w:hAnsi="Lucida Sans" w:cs="Arial"/>
                <w:color w:val="000000"/>
                <w:szCs w:val="20"/>
              </w:rPr>
              <w:t xml:space="preserve"> Jack Williamson</w:t>
            </w:r>
          </w:p>
        </w:tc>
        <w:tc>
          <w:tcPr>
            <w:tcW w:w="254" w:type="pct"/>
            <w:tcBorders>
              <w:top w:val="nil"/>
              <w:left w:val="nil"/>
            </w:tcBorders>
          </w:tcPr>
          <w:p w14:paraId="3C5F04C4" w14:textId="2E6E36A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F466CA">
              <w:rPr>
                <w:rFonts w:ascii="Lucida Sans" w:eastAsia="Times New Roman" w:hAnsi="Lucida Sans" w:cs="Arial"/>
                <w:color w:val="000000"/>
                <w:szCs w:val="20"/>
              </w:rPr>
              <w:t xml:space="preserve"> 7/11/24</w:t>
            </w:r>
          </w:p>
        </w:tc>
        <w:tc>
          <w:tcPr>
            <w:tcW w:w="1745" w:type="pct"/>
            <w:gridSpan w:val="2"/>
            <w:tcBorders>
              <w:top w:val="nil"/>
              <w:right w:val="nil"/>
            </w:tcBorders>
          </w:tcPr>
          <w:p w14:paraId="3C5F04C5" w14:textId="3E40BF6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F466CA">
              <w:rPr>
                <w:rFonts w:ascii="Lucida Sans" w:eastAsia="Times New Roman" w:hAnsi="Lucida Sans" w:cs="Arial"/>
                <w:color w:val="000000"/>
                <w:szCs w:val="20"/>
              </w:rPr>
              <w:t xml:space="preserve"> Yasmin Ball</w:t>
            </w:r>
          </w:p>
        </w:tc>
        <w:tc>
          <w:tcPr>
            <w:tcW w:w="580" w:type="pct"/>
            <w:tcBorders>
              <w:top w:val="nil"/>
              <w:left w:val="nil"/>
            </w:tcBorders>
          </w:tcPr>
          <w:p w14:paraId="328C1E48"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6" w14:textId="52BA562D" w:rsidR="00F466CA" w:rsidRPr="00957A37" w:rsidRDefault="00F466C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7/11/24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2"/>
      <w:footerReference w:type="default" r:id="rId2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0396" w14:textId="77777777" w:rsidR="00DD66A2" w:rsidRDefault="00DD66A2" w:rsidP="00AC47B4">
      <w:pPr>
        <w:spacing w:after="0" w:line="240" w:lineRule="auto"/>
      </w:pPr>
      <w:r>
        <w:separator/>
      </w:r>
    </w:p>
  </w:endnote>
  <w:endnote w:type="continuationSeparator" w:id="0">
    <w:p w14:paraId="07783F12" w14:textId="77777777" w:rsidR="00DD66A2" w:rsidRDefault="00DD66A2"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B7A60" w14:textId="77777777" w:rsidR="00DD66A2" w:rsidRDefault="00DD66A2" w:rsidP="00AC47B4">
      <w:pPr>
        <w:spacing w:after="0" w:line="240" w:lineRule="auto"/>
      </w:pPr>
      <w:r>
        <w:separator/>
      </w:r>
    </w:p>
  </w:footnote>
  <w:footnote w:type="continuationSeparator" w:id="0">
    <w:p w14:paraId="4AF978E1" w14:textId="77777777" w:rsidR="00DD66A2" w:rsidRDefault="00DD66A2"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8"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9"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0"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11"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3"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4"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15"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8"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066773">
    <w:abstractNumId w:val="14"/>
  </w:num>
  <w:num w:numId="2" w16cid:durableId="1135373686">
    <w:abstractNumId w:val="1"/>
  </w:num>
  <w:num w:numId="3" w16cid:durableId="1483697344">
    <w:abstractNumId w:val="13"/>
  </w:num>
  <w:num w:numId="4" w16cid:durableId="1025791638">
    <w:abstractNumId w:val="12"/>
  </w:num>
  <w:num w:numId="5" w16cid:durableId="809244580">
    <w:abstractNumId w:val="7"/>
  </w:num>
  <w:num w:numId="6" w16cid:durableId="893731877">
    <w:abstractNumId w:val="0"/>
  </w:num>
  <w:num w:numId="7" w16cid:durableId="490752467">
    <w:abstractNumId w:val="8"/>
  </w:num>
  <w:num w:numId="8" w16cid:durableId="878323468">
    <w:abstractNumId w:val="10"/>
  </w:num>
  <w:num w:numId="9" w16cid:durableId="353264505">
    <w:abstractNumId w:val="3"/>
  </w:num>
  <w:num w:numId="10" w16cid:durableId="1528981503">
    <w:abstractNumId w:val="2"/>
  </w:num>
  <w:num w:numId="11" w16cid:durableId="1117945550">
    <w:abstractNumId w:val="9"/>
  </w:num>
  <w:num w:numId="12" w16cid:durableId="1873807108">
    <w:abstractNumId w:val="17"/>
  </w:num>
  <w:num w:numId="13" w16cid:durableId="1100374281">
    <w:abstractNumId w:val="23"/>
  </w:num>
  <w:num w:numId="14" w16cid:durableId="1385983514">
    <w:abstractNumId w:val="21"/>
  </w:num>
  <w:num w:numId="15" w16cid:durableId="2119248840">
    <w:abstractNumId w:val="11"/>
  </w:num>
  <w:num w:numId="16" w16cid:durableId="798380644">
    <w:abstractNumId w:val="4"/>
  </w:num>
  <w:num w:numId="17" w16cid:durableId="1418213233">
    <w:abstractNumId w:val="20"/>
  </w:num>
  <w:num w:numId="18" w16cid:durableId="1646812086">
    <w:abstractNumId w:val="6"/>
  </w:num>
  <w:num w:numId="19" w16cid:durableId="635138728">
    <w:abstractNumId w:val="15"/>
  </w:num>
  <w:num w:numId="20" w16cid:durableId="2108193177">
    <w:abstractNumId w:val="22"/>
  </w:num>
  <w:num w:numId="21" w16cid:durableId="385183445">
    <w:abstractNumId w:val="19"/>
  </w:num>
  <w:num w:numId="22" w16cid:durableId="1645500880">
    <w:abstractNumId w:val="16"/>
  </w:num>
  <w:num w:numId="23" w16cid:durableId="1236819225">
    <w:abstractNumId w:val="5"/>
  </w:num>
  <w:num w:numId="24" w16cid:durableId="175716381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94F71"/>
    <w:rsid w:val="00097293"/>
    <w:rsid w:val="000A248D"/>
    <w:rsid w:val="000A2D02"/>
    <w:rsid w:val="000A3B99"/>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4E9A"/>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9B"/>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1F8D"/>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0D5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415D4"/>
    <w:rsid w:val="00844F2E"/>
    <w:rsid w:val="00847448"/>
    <w:rsid w:val="00847485"/>
    <w:rsid w:val="00851186"/>
    <w:rsid w:val="00853926"/>
    <w:rsid w:val="008561C9"/>
    <w:rsid w:val="0085740C"/>
    <w:rsid w:val="00860115"/>
    <w:rsid w:val="00860E74"/>
    <w:rsid w:val="008654F5"/>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882"/>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D66A2"/>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6CA"/>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Jack Williamson (jw5n22)</cp:lastModifiedBy>
  <cp:revision>4</cp:revision>
  <cp:lastPrinted>2016-04-18T12:10:00Z</cp:lastPrinted>
  <dcterms:created xsi:type="dcterms:W3CDTF">2024-11-07T10:30:00Z</dcterms:created>
  <dcterms:modified xsi:type="dcterms:W3CDTF">2024-11-07T10:34:00Z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