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A056C34" w:rsidR="008A6B6B" w:rsidRPr="009D0EE5" w:rsidRDefault="009D0EE5" w:rsidP="008A6B6B">
            <w:pPr>
              <w:pStyle w:val="ListParagraph"/>
              <w:ind w:left="170"/>
              <w:rPr>
                <w:rFonts w:ascii="Verdana" w:eastAsia="Times New Roman" w:hAnsi="Verdana" w:cs="Times New Roman"/>
                <w:bCs/>
              </w:rPr>
            </w:pPr>
            <w:r w:rsidRPr="009D0EE5">
              <w:rPr>
                <w:rFonts w:ascii="Verdana" w:eastAsia="Times New Roman" w:hAnsi="Verdana" w:cs="Times New Roman"/>
                <w:bCs/>
              </w:rPr>
              <w:t>Team Southampton Motorsport</w:t>
            </w:r>
            <w:r w:rsidR="008A6B6B" w:rsidRPr="009D0EE5">
              <w:rPr>
                <w:rFonts w:ascii="Verdana" w:eastAsia="Times New Roman" w:hAnsi="Verdana" w:cs="Times New Roman"/>
                <w:b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r w:rsidRPr="009D0EE5">
              <w:rPr>
                <w:rFonts w:ascii="Verdana" w:eastAsia="Times New Roman" w:hAnsi="Verdana" w:cs="Times New Roman"/>
                <w:bCs/>
              </w:rPr>
              <w:t>Planning meetings, Social, Fundraising, Demonstrations, Awareness Stall/stand</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DDDF31F" w:rsidR="008A6B6B" w:rsidRPr="00A156C3" w:rsidRDefault="00162D0E"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23</w:t>
            </w:r>
            <w:r w:rsidR="009D0EE5">
              <w:rPr>
                <w:rFonts w:ascii="Verdana" w:eastAsia="Times New Roman" w:hAnsi="Verdana" w:cs="Times New Roman"/>
                <w:bCs/>
                <w:i/>
                <w:iCs/>
                <w:color w:val="FF0000"/>
              </w:rPr>
              <w:t>/09/24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CD02BF0" w:rsidR="00E4228F" w:rsidRPr="009D0EE5" w:rsidRDefault="009D0EE5" w:rsidP="00E4228F">
            <w:pPr>
              <w:pStyle w:val="ListParagraph"/>
              <w:ind w:left="170"/>
              <w:rPr>
                <w:rFonts w:ascii="Verdana" w:eastAsia="Times New Roman" w:hAnsi="Verdana" w:cs="Times New Roman"/>
                <w:b/>
                <w:i/>
                <w:iCs/>
                <w:lang w:eastAsia="en-GB"/>
              </w:rPr>
            </w:pPr>
            <w:r w:rsidRPr="009D0EE5">
              <w:rPr>
                <w:rFonts w:ascii="Verdana" w:eastAsia="Times New Roman" w:hAnsi="Verdana" w:cs="Times New Roman"/>
                <w:bCs/>
                <w:i/>
                <w:iCs/>
              </w:rPr>
              <w:t>Sports</w:t>
            </w:r>
          </w:p>
        </w:tc>
        <w:tc>
          <w:tcPr>
            <w:tcW w:w="956" w:type="pct"/>
            <w:shd w:val="clear" w:color="auto" w:fill="auto"/>
          </w:tcPr>
          <w:p w14:paraId="3C5F0403" w14:textId="33C45A09"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Assessor</w:t>
            </w:r>
          </w:p>
        </w:tc>
        <w:tc>
          <w:tcPr>
            <w:tcW w:w="1051" w:type="pct"/>
            <w:gridSpan w:val="2"/>
            <w:shd w:val="clear" w:color="auto" w:fill="auto"/>
          </w:tcPr>
          <w:p w14:paraId="3C5F0404" w14:textId="029DC861" w:rsidR="00E4228F" w:rsidRPr="009D0EE5" w:rsidRDefault="00E4228F" w:rsidP="00E4228F">
            <w:pPr>
              <w:pStyle w:val="ListParagraph"/>
              <w:ind w:left="170"/>
              <w:rPr>
                <w:rFonts w:ascii="Verdana" w:eastAsia="Times New Roman" w:hAnsi="Verdana" w:cs="Times New Roman"/>
                <w:b/>
                <w:lang w:eastAsia="en-GB"/>
              </w:rPr>
            </w:pP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35167CD3" w:rsidR="00E4228F" w:rsidRPr="009D0EE5" w:rsidRDefault="009D0EE5" w:rsidP="00E4228F">
            <w:pPr>
              <w:rPr>
                <w:rFonts w:ascii="Verdana" w:eastAsia="Times New Roman" w:hAnsi="Verdana" w:cs="Times New Roman"/>
                <w:b/>
                <w:i/>
                <w:lang w:eastAsia="en-GB"/>
              </w:rPr>
            </w:pPr>
            <w:r w:rsidRPr="009D0EE5">
              <w:rPr>
                <w:rFonts w:ascii="Verdana" w:eastAsia="Times New Roman" w:hAnsi="Verdana" w:cs="Times New Roman"/>
                <w:bCs/>
                <w:i/>
              </w:rPr>
              <w:t>William Taylor</w:t>
            </w:r>
          </w:p>
        </w:tc>
        <w:tc>
          <w:tcPr>
            <w:tcW w:w="956" w:type="pct"/>
            <w:shd w:val="clear" w:color="auto" w:fill="F2F2F2" w:themeFill="background1" w:themeFillShade="F2"/>
          </w:tcPr>
          <w:p w14:paraId="700920EF" w14:textId="77777777" w:rsidR="00D24761" w:rsidRPr="009D0EE5" w:rsidRDefault="00D24761" w:rsidP="00E4228F">
            <w:pPr>
              <w:pStyle w:val="ListParagraph"/>
              <w:ind w:left="170"/>
              <w:rPr>
                <w:rFonts w:ascii="Verdana" w:eastAsia="Times New Roman" w:hAnsi="Verdana" w:cs="Times New Roman"/>
                <w:b/>
                <w:lang w:eastAsia="en-GB"/>
              </w:rPr>
            </w:pPr>
          </w:p>
          <w:p w14:paraId="3C5F0408" w14:textId="0B08EA17" w:rsidR="00E4228F" w:rsidRPr="009D0EE5" w:rsidRDefault="00E4228F" w:rsidP="00E4228F">
            <w:pPr>
              <w:pStyle w:val="ListParagraph"/>
              <w:ind w:left="170"/>
              <w:rPr>
                <w:rFonts w:ascii="Verdana" w:eastAsia="Times New Roman" w:hAnsi="Verdana" w:cs="Times New Roman"/>
                <w:b/>
                <w:lang w:eastAsia="en-GB"/>
              </w:rPr>
            </w:pPr>
            <w:r w:rsidRPr="009D0EE5">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9D0EE5" w:rsidRDefault="00D24761" w:rsidP="00E4228F">
            <w:pPr>
              <w:pStyle w:val="ListParagraph"/>
              <w:ind w:left="170"/>
              <w:rPr>
                <w:rFonts w:ascii="Verdana" w:eastAsia="Times New Roman" w:hAnsi="Verdana" w:cs="Times New Roman"/>
                <w:b/>
                <w:i/>
                <w:lang w:eastAsia="en-GB"/>
              </w:rPr>
            </w:pPr>
          </w:p>
          <w:p w14:paraId="3C5F040A" w14:textId="12424834" w:rsidR="00E4228F" w:rsidRPr="009D0EE5" w:rsidRDefault="00E4228F" w:rsidP="00E4228F">
            <w:pPr>
              <w:pStyle w:val="ListParagraph"/>
              <w:ind w:left="170"/>
              <w:rPr>
                <w:rFonts w:ascii="Verdana" w:eastAsia="Times New Roman" w:hAnsi="Verdana" w:cs="Times New Roman"/>
                <w:b/>
                <w:i/>
                <w:lang w:eastAsia="en-GB"/>
              </w:rPr>
            </w:pP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C5B6249" w14:textId="110697EC" w:rsidR="00D24761" w:rsidRPr="009D0EE5" w:rsidRDefault="009D0EE5" w:rsidP="00E4228F">
            <w:pPr>
              <w:pStyle w:val="ListParagraph"/>
              <w:ind w:left="170"/>
              <w:rPr>
                <w:rFonts w:ascii="Verdana" w:eastAsia="Times New Roman" w:hAnsi="Verdana" w:cs="Times New Roman"/>
                <w:bCs/>
                <w:iCs/>
                <w:lang w:eastAsia="en-GB"/>
              </w:rPr>
            </w:pPr>
            <w:r w:rsidRPr="009D0EE5">
              <w:rPr>
                <w:rFonts w:ascii="Verdana" w:eastAsia="Times New Roman" w:hAnsi="Verdana" w:cs="Times New Roman"/>
                <w:bCs/>
                <w:iCs/>
                <w:lang w:eastAsia="en-GB"/>
              </w:rPr>
              <w:t>This Risk Assessment is for the generic running of the society, with risks that will commonly arrive over the course of the year. This includes Bunfight, meetings a</w:t>
            </w:r>
            <w:r>
              <w:rPr>
                <w:rFonts w:ascii="Verdana" w:eastAsia="Times New Roman" w:hAnsi="Verdana" w:cs="Times New Roman"/>
                <w:bCs/>
                <w:iCs/>
                <w:lang w:eastAsia="en-GB"/>
              </w:rPr>
              <w:t>nd any occasions where the society will meet throughout the year.</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7A872967" w14:textId="77777777" w:rsidR="00162D0E" w:rsidRDefault="00162D0E"/>
    <w:p w14:paraId="3F79FEFA" w14:textId="77777777" w:rsidR="00162D0E" w:rsidRDefault="00162D0E"/>
    <w:p w14:paraId="5D9E82F0" w14:textId="77777777" w:rsidR="00162D0E" w:rsidRDefault="00162D0E"/>
    <w:p w14:paraId="3F8E851B" w14:textId="77777777" w:rsidR="00162D0E" w:rsidRDefault="00162D0E"/>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5"/>
        <w:gridCol w:w="489"/>
        <w:gridCol w:w="489"/>
        <w:gridCol w:w="489"/>
        <w:gridCol w:w="2915"/>
        <w:gridCol w:w="489"/>
        <w:gridCol w:w="489"/>
        <w:gridCol w:w="489"/>
        <w:gridCol w:w="276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9564C3">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9564C3">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9564C3">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9564C3">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9"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9564C3">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9"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9564C3">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9"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9564C3">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9"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9564C3">
        <w:trPr>
          <w:cantSplit/>
          <w:trHeight w:val="1296"/>
        </w:trPr>
        <w:tc>
          <w:tcPr>
            <w:tcW w:w="658" w:type="pct"/>
            <w:shd w:val="clear" w:color="auto" w:fill="FFFFFF" w:themeFill="background1"/>
          </w:tcPr>
          <w:p w14:paraId="2DBDC288" w14:textId="203EF346" w:rsidR="00135E69" w:rsidRPr="00DE0179" w:rsidRDefault="00135E69" w:rsidP="00135E69">
            <w:pPr>
              <w:rPr>
                <w:rFonts w:ascii="Calibri" w:eastAsia="Calibri" w:hAnsi="Calibri" w:cs="Calibri"/>
                <w:b/>
                <w:bCs/>
              </w:rPr>
            </w:pPr>
          </w:p>
        </w:tc>
        <w:tc>
          <w:tcPr>
            <w:tcW w:w="872" w:type="pct"/>
            <w:shd w:val="clear" w:color="auto" w:fill="FFFFFF" w:themeFill="background1"/>
          </w:tcPr>
          <w:p w14:paraId="63DCB864" w14:textId="21BB0F19" w:rsidR="00135E69" w:rsidRDefault="00135E69" w:rsidP="00135E69">
            <w:pPr>
              <w:rPr>
                <w:rFonts w:ascii="Calibri" w:eastAsia="Calibri" w:hAnsi="Calibri" w:cs="Calibri"/>
              </w:rPr>
            </w:pPr>
          </w:p>
        </w:tc>
        <w:tc>
          <w:tcPr>
            <w:tcW w:w="670" w:type="pct"/>
            <w:shd w:val="clear" w:color="auto" w:fill="FFFFFF" w:themeFill="background1"/>
          </w:tcPr>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45A9E4CB" w:rsidR="00135E69" w:rsidRPr="004E2DE5" w:rsidRDefault="00135E69" w:rsidP="00135E69">
            <w:pPr>
              <w:rPr>
                <w:rFonts w:eastAsia="Calibri" w:cstheme="minorHAnsi"/>
                <w:bCs/>
                <w:sz w:val="20"/>
                <w:szCs w:val="20"/>
              </w:rPr>
            </w:pPr>
          </w:p>
        </w:tc>
        <w:tc>
          <w:tcPr>
            <w:tcW w:w="159" w:type="pct"/>
            <w:shd w:val="clear" w:color="auto" w:fill="FFFFFF" w:themeFill="background1"/>
          </w:tcPr>
          <w:p w14:paraId="18882659" w14:textId="551FF293" w:rsidR="00135E69" w:rsidRPr="004E2DE5" w:rsidRDefault="00135E69" w:rsidP="00135E69">
            <w:pPr>
              <w:rPr>
                <w:rFonts w:eastAsia="Calibri" w:cstheme="minorHAnsi"/>
                <w:bCs/>
                <w:sz w:val="20"/>
                <w:szCs w:val="20"/>
              </w:rPr>
            </w:pPr>
          </w:p>
        </w:tc>
        <w:tc>
          <w:tcPr>
            <w:tcW w:w="159" w:type="pct"/>
            <w:shd w:val="clear" w:color="auto" w:fill="FFFFFF" w:themeFill="background1"/>
          </w:tcPr>
          <w:p w14:paraId="3A33F5A1" w14:textId="11967C01" w:rsidR="00135E69" w:rsidRPr="004E2DE5" w:rsidRDefault="00135E69" w:rsidP="00135E69">
            <w:pPr>
              <w:rPr>
                <w:rFonts w:eastAsia="Calibri" w:cstheme="minorHAnsi"/>
                <w:bCs/>
                <w:sz w:val="20"/>
                <w:szCs w:val="20"/>
              </w:rPr>
            </w:pPr>
          </w:p>
        </w:tc>
        <w:tc>
          <w:tcPr>
            <w:tcW w:w="947" w:type="pct"/>
            <w:shd w:val="clear" w:color="auto" w:fill="FFFFFF" w:themeFill="background1"/>
          </w:tcPr>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66742AAF" w:rsidR="00135E69" w:rsidRPr="004E2DE5" w:rsidRDefault="00135E69" w:rsidP="00135E69">
            <w:pPr>
              <w:rPr>
                <w:rFonts w:eastAsia="Calibri" w:cstheme="minorHAnsi"/>
                <w:bCs/>
                <w:sz w:val="20"/>
                <w:szCs w:val="20"/>
              </w:rPr>
            </w:pPr>
          </w:p>
        </w:tc>
        <w:tc>
          <w:tcPr>
            <w:tcW w:w="159" w:type="pct"/>
            <w:shd w:val="clear" w:color="auto" w:fill="FFFFFF" w:themeFill="background1"/>
          </w:tcPr>
          <w:p w14:paraId="2E0BDB6C" w14:textId="26BE1D3B" w:rsidR="00135E69" w:rsidRPr="004E2DE5" w:rsidRDefault="00135E69" w:rsidP="00135E69">
            <w:pPr>
              <w:rPr>
                <w:rFonts w:eastAsia="Calibri" w:cstheme="minorHAnsi"/>
                <w:bCs/>
                <w:sz w:val="20"/>
                <w:szCs w:val="20"/>
              </w:rPr>
            </w:pPr>
          </w:p>
        </w:tc>
        <w:tc>
          <w:tcPr>
            <w:tcW w:w="159" w:type="pct"/>
            <w:shd w:val="clear" w:color="auto" w:fill="FFFFFF" w:themeFill="background1"/>
          </w:tcPr>
          <w:p w14:paraId="17ED7C6D" w14:textId="7F2AC46A" w:rsidR="00135E69" w:rsidRPr="004E2DE5" w:rsidRDefault="00135E69" w:rsidP="00135E69">
            <w:pPr>
              <w:rPr>
                <w:rFonts w:eastAsia="Calibri" w:cstheme="minorHAnsi"/>
                <w:bCs/>
                <w:sz w:val="20"/>
                <w:szCs w:val="20"/>
              </w:rPr>
            </w:pPr>
          </w:p>
        </w:tc>
        <w:tc>
          <w:tcPr>
            <w:tcW w:w="899" w:type="pct"/>
            <w:shd w:val="clear" w:color="auto" w:fill="FFFFFF" w:themeFill="background1"/>
          </w:tcPr>
          <w:p w14:paraId="0CCB324D" w14:textId="3853BA9C" w:rsidR="00135E69" w:rsidRDefault="00135E69" w:rsidP="00135E69">
            <w:pPr>
              <w:rPr>
                <w:rFonts w:ascii="Calibri" w:eastAsia="Calibri" w:hAnsi="Calibri" w:cs="Calibri"/>
              </w:rPr>
            </w:pPr>
          </w:p>
        </w:tc>
      </w:tr>
      <w:tr w:rsidR="00B466FD" w14:paraId="324071ED" w14:textId="77777777" w:rsidTr="009564C3">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9564C3">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9564C3">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9564C3">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9564C3">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BB80F24" w14:textId="77777777" w:rsidR="00926A23" w:rsidRDefault="00926A23" w:rsidP="00454E9E">
            <w:pPr>
              <w:rPr>
                <w:rFonts w:ascii="Calibri" w:eastAsia="Calibri" w:hAnsi="Calibri" w:cs="Calibri"/>
              </w:rPr>
            </w:pPr>
          </w:p>
          <w:p w14:paraId="6064360B" w14:textId="77777777" w:rsidR="009564C3" w:rsidRDefault="009564C3" w:rsidP="00454E9E">
            <w:pPr>
              <w:rPr>
                <w:rFonts w:ascii="Calibri" w:eastAsia="Calibri" w:hAnsi="Calibri" w:cs="Calibri"/>
              </w:rPr>
            </w:pPr>
          </w:p>
          <w:p w14:paraId="0DE2695F" w14:textId="77777777" w:rsidR="009564C3" w:rsidRDefault="009564C3" w:rsidP="00454E9E">
            <w:pPr>
              <w:rPr>
                <w:rFonts w:ascii="Calibri" w:eastAsia="Calibri" w:hAnsi="Calibri" w:cs="Calibri"/>
              </w:rPr>
            </w:pPr>
          </w:p>
          <w:p w14:paraId="7A7FB439" w14:textId="531B005F" w:rsidR="009564C3" w:rsidRDefault="009564C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9564C3">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0"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9564C3">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620FE800" w:rsidR="00454E9E" w:rsidRDefault="00E92D60" w:rsidP="00454E9E">
            <w:pPr>
              <w:rPr>
                <w:rFonts w:ascii="Calibri" w:hAnsi="Calibri" w:cs="Calibri"/>
                <w:color w:val="000000"/>
              </w:rPr>
            </w:pPr>
            <w:r>
              <w:rPr>
                <w:rFonts w:ascii="Calibri" w:hAnsi="Calibri" w:cs="Calibri"/>
                <w:color w:val="000000"/>
              </w:rPr>
              <w:t>Kit, seat inserts, lead weight.</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0"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9564C3">
        <w:trPr>
          <w:cantSplit/>
          <w:trHeight w:val="1296"/>
        </w:trPr>
        <w:tc>
          <w:tcPr>
            <w:tcW w:w="658" w:type="pct"/>
            <w:shd w:val="clear" w:color="auto" w:fill="FFFFFF" w:themeFill="background1"/>
          </w:tcPr>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4EC23670" w:rsidR="00454E9E" w:rsidRPr="00F243B2" w:rsidRDefault="00454E9E" w:rsidP="00454E9E">
            <w:pPr>
              <w:rPr>
                <w:rFonts w:cstheme="minorHAnsi"/>
              </w:rPr>
            </w:pPr>
          </w:p>
        </w:tc>
        <w:tc>
          <w:tcPr>
            <w:tcW w:w="670" w:type="pct"/>
            <w:shd w:val="clear" w:color="auto" w:fill="FFFFFF" w:themeFill="background1"/>
          </w:tcPr>
          <w:p w14:paraId="1FFC8919" w14:textId="661856AE" w:rsidR="00454E9E" w:rsidRPr="00F243B2" w:rsidRDefault="00454E9E" w:rsidP="00454E9E">
            <w:pPr>
              <w:rPr>
                <w:rFonts w:cstheme="minorHAnsi"/>
              </w:rPr>
            </w:pPr>
          </w:p>
        </w:tc>
        <w:tc>
          <w:tcPr>
            <w:tcW w:w="159" w:type="pct"/>
            <w:shd w:val="clear" w:color="auto" w:fill="FFFFFF" w:themeFill="background1"/>
          </w:tcPr>
          <w:p w14:paraId="36243490" w14:textId="047DB869" w:rsidR="00454E9E" w:rsidRPr="00F243B2" w:rsidRDefault="00454E9E" w:rsidP="00454E9E">
            <w:pPr>
              <w:rPr>
                <w:rFonts w:cstheme="minorHAnsi"/>
              </w:rPr>
            </w:pPr>
          </w:p>
        </w:tc>
        <w:tc>
          <w:tcPr>
            <w:tcW w:w="159" w:type="pct"/>
            <w:shd w:val="clear" w:color="auto" w:fill="FFFFFF" w:themeFill="background1"/>
          </w:tcPr>
          <w:p w14:paraId="26013FCC" w14:textId="0E62EF29" w:rsidR="00454E9E" w:rsidRPr="00F243B2" w:rsidRDefault="00454E9E" w:rsidP="00454E9E">
            <w:pPr>
              <w:rPr>
                <w:rFonts w:cstheme="minorHAnsi"/>
              </w:rPr>
            </w:pPr>
          </w:p>
        </w:tc>
        <w:tc>
          <w:tcPr>
            <w:tcW w:w="159" w:type="pct"/>
            <w:shd w:val="clear" w:color="auto" w:fill="FFFFFF" w:themeFill="background1"/>
          </w:tcPr>
          <w:p w14:paraId="18F93387" w14:textId="6D2DBAC4" w:rsidR="00454E9E" w:rsidRPr="00F243B2" w:rsidRDefault="00454E9E" w:rsidP="00454E9E">
            <w:pPr>
              <w:rPr>
                <w:rFonts w:cstheme="minorHAnsi"/>
              </w:rPr>
            </w:pPr>
          </w:p>
        </w:tc>
        <w:tc>
          <w:tcPr>
            <w:tcW w:w="947" w:type="pct"/>
            <w:shd w:val="clear" w:color="auto" w:fill="FFFFFF" w:themeFill="background1"/>
          </w:tcPr>
          <w:p w14:paraId="2B3A8149" w14:textId="30C41386" w:rsidR="00454E9E" w:rsidRPr="009D0EE5" w:rsidRDefault="00454E9E" w:rsidP="00454E9E">
            <w:pPr>
              <w:rPr>
                <w:rFonts w:cstheme="minorHAnsi"/>
              </w:rPr>
            </w:pPr>
          </w:p>
        </w:tc>
        <w:tc>
          <w:tcPr>
            <w:tcW w:w="159" w:type="pct"/>
            <w:shd w:val="clear" w:color="auto" w:fill="FFFFFF" w:themeFill="background1"/>
          </w:tcPr>
          <w:p w14:paraId="7E7E8CAE" w14:textId="5453DFF8" w:rsidR="00454E9E" w:rsidRPr="00135E69" w:rsidRDefault="00454E9E" w:rsidP="00454E9E">
            <w:pPr>
              <w:rPr>
                <w:rFonts w:cstheme="minorHAnsi"/>
              </w:rPr>
            </w:pPr>
          </w:p>
        </w:tc>
        <w:tc>
          <w:tcPr>
            <w:tcW w:w="159" w:type="pct"/>
            <w:shd w:val="clear" w:color="auto" w:fill="FFFFFF" w:themeFill="background1"/>
          </w:tcPr>
          <w:p w14:paraId="57E7F422" w14:textId="7D522B4B" w:rsidR="00454E9E" w:rsidRPr="00135E69" w:rsidRDefault="00454E9E" w:rsidP="00454E9E">
            <w:pPr>
              <w:rPr>
                <w:rFonts w:cstheme="minorHAnsi"/>
              </w:rPr>
            </w:pPr>
          </w:p>
        </w:tc>
        <w:tc>
          <w:tcPr>
            <w:tcW w:w="159" w:type="pct"/>
            <w:shd w:val="clear" w:color="auto" w:fill="FFFFFF" w:themeFill="background1"/>
          </w:tcPr>
          <w:p w14:paraId="788D9F2E" w14:textId="580CC799" w:rsidR="00454E9E" w:rsidRPr="00135E69" w:rsidRDefault="00454E9E" w:rsidP="00454E9E">
            <w:pPr>
              <w:rPr>
                <w:rFonts w:cstheme="minorHAnsi"/>
              </w:rPr>
            </w:pPr>
          </w:p>
        </w:tc>
        <w:tc>
          <w:tcPr>
            <w:tcW w:w="899" w:type="pct"/>
            <w:shd w:val="clear" w:color="auto" w:fill="FFFFFF" w:themeFill="background1"/>
          </w:tcPr>
          <w:p w14:paraId="6C2097F3" w14:textId="41F11058" w:rsidR="00454E9E" w:rsidRPr="00135E69" w:rsidRDefault="00454E9E" w:rsidP="00454E9E">
            <w:pPr>
              <w:rPr>
                <w:rFonts w:cstheme="minorHAnsi"/>
              </w:rPr>
            </w:pPr>
          </w:p>
        </w:tc>
      </w:tr>
      <w:tr w:rsidR="00B466FD" w14:paraId="56D15CA9" w14:textId="77777777" w:rsidTr="009564C3">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5F92D276" w14:textId="77777777" w:rsidR="00454E9E" w:rsidRDefault="00454E9E" w:rsidP="00454E9E">
            <w:pPr>
              <w:rPr>
                <w:rFonts w:ascii="Calibri" w:eastAsia="Calibri" w:hAnsi="Calibri" w:cs="Calibri"/>
              </w:rPr>
            </w:pPr>
            <w:r w:rsidRPr="00BC2FB8">
              <w:rPr>
                <w:rFonts w:ascii="Calibri" w:eastAsia="Calibri" w:hAnsi="Calibri" w:cs="Calibri"/>
              </w:rPr>
              <w:t xml:space="preserve">Entrapment/ things getting stuck, collisions with others that could cause cuts or bruises. </w:t>
            </w:r>
          </w:p>
          <w:p w14:paraId="1BCB8F67" w14:textId="77777777" w:rsidR="009564C3" w:rsidRDefault="009564C3" w:rsidP="00454E9E">
            <w:pPr>
              <w:rPr>
                <w:rFonts w:ascii="Calibri" w:eastAsia="Calibri" w:hAnsi="Calibri" w:cs="Calibri"/>
              </w:rPr>
            </w:pPr>
          </w:p>
          <w:p w14:paraId="3102D063" w14:textId="41854F47" w:rsidR="009564C3" w:rsidRPr="00F243B2" w:rsidRDefault="009564C3" w:rsidP="00454E9E">
            <w:pPr>
              <w:rPr>
                <w:rFonts w:cstheme="minorHAnsi"/>
              </w:rPr>
            </w:pPr>
            <w:r>
              <w:rPr>
                <w:rFonts w:ascii="Calibri" w:eastAsia="Calibri" w:hAnsi="Calibri" w:cs="Calibri"/>
              </w:rPr>
              <w:t>Possible strangulation around neck</w:t>
            </w:r>
          </w:p>
        </w:tc>
        <w:tc>
          <w:tcPr>
            <w:tcW w:w="670"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9564C3">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9"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9564C3">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06869D41"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E92D60">
              <w:rPr>
                <w:bCs/>
              </w:rPr>
              <w:t>, helmet, suit.</w:t>
            </w:r>
          </w:p>
          <w:p w14:paraId="3BC6B935" w14:textId="77777777" w:rsidR="00454E9E" w:rsidRDefault="00454E9E" w:rsidP="00454E9E">
            <w:pPr>
              <w:rPr>
                <w:rFonts w:cstheme="minorHAnsi"/>
              </w:rPr>
            </w:pPr>
          </w:p>
          <w:p w14:paraId="2C06C473" w14:textId="77777777" w:rsidR="009564C3" w:rsidRDefault="009564C3" w:rsidP="00454E9E">
            <w:pPr>
              <w:rPr>
                <w:rFonts w:cstheme="minorHAnsi"/>
              </w:rPr>
            </w:pPr>
            <w:r>
              <w:rPr>
                <w:rFonts w:cstheme="minorHAnsi"/>
              </w:rPr>
              <w:t>Check with event support staff</w:t>
            </w:r>
          </w:p>
          <w:p w14:paraId="6BB454BB" w14:textId="77777777" w:rsidR="00E92D60" w:rsidRDefault="00E92D60" w:rsidP="00454E9E">
            <w:pPr>
              <w:rPr>
                <w:rFonts w:cstheme="minorHAnsi"/>
              </w:rPr>
            </w:pPr>
          </w:p>
          <w:p w14:paraId="6DF8B826" w14:textId="2766A097" w:rsidR="00E92D60" w:rsidRDefault="00E92D60" w:rsidP="00454E9E">
            <w:pPr>
              <w:rPr>
                <w:rFonts w:cstheme="minorHAnsi"/>
              </w:rPr>
            </w:pPr>
            <w:r>
              <w:rPr>
                <w:rFonts w:cstheme="minorHAnsi"/>
              </w:rPr>
              <w:t>Wearing active clothing</w:t>
            </w:r>
          </w:p>
          <w:p w14:paraId="4AE667D5" w14:textId="3F1955AC" w:rsidR="00E92D60" w:rsidRPr="00135E69" w:rsidRDefault="00E92D60"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9564C3">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0"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9564C3">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0"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9564C3">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60FD857B" w:rsidR="00454E9E" w:rsidRPr="00F243B2" w:rsidRDefault="00ED752A" w:rsidP="00454E9E">
            <w:pPr>
              <w:rPr>
                <w:rFonts w:cstheme="minorHAnsi"/>
              </w:rPr>
            </w:pPr>
            <w:r>
              <w:rPr>
                <w:rFonts w:cstheme="minorHAnsi"/>
              </w:rPr>
              <w:t>Pulled or strained muscles</w:t>
            </w:r>
            <w:r w:rsidR="009564C3">
              <w:rPr>
                <w:rFonts w:cstheme="minorHAnsi"/>
              </w:rPr>
              <w:t>, mainly in wrist, forearm or neck</w:t>
            </w:r>
          </w:p>
        </w:tc>
        <w:tc>
          <w:tcPr>
            <w:tcW w:w="670"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9"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9564C3">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15299756" w14:textId="2D9446BC" w:rsidR="00454E9E" w:rsidRDefault="00454E9E" w:rsidP="00454E9E">
            <w:pPr>
              <w:rPr>
                <w:rFonts w:ascii="Calibri" w:hAnsi="Calibri" w:cs="Calibri"/>
                <w:color w:val="000000"/>
              </w:rPr>
            </w:pPr>
            <w:r>
              <w:rPr>
                <w:rFonts w:ascii="Calibri" w:hAnsi="Calibri" w:cs="Calibri"/>
                <w:color w:val="000000"/>
              </w:rPr>
              <w:t xml:space="preserve">Wide Lane, Highfield, </w:t>
            </w:r>
          </w:p>
          <w:p w14:paraId="085B5265" w14:textId="47EE473B" w:rsidR="003915FA" w:rsidRDefault="003915FA" w:rsidP="00454E9E">
            <w:pPr>
              <w:rPr>
                <w:rFonts w:ascii="Calibri" w:hAnsi="Calibri" w:cs="Calibri"/>
                <w:color w:val="000000"/>
              </w:rPr>
            </w:pPr>
            <w:proofErr w:type="spellStart"/>
            <w:r>
              <w:rPr>
                <w:rFonts w:ascii="Calibri" w:hAnsi="Calibri" w:cs="Calibri"/>
                <w:color w:val="000000"/>
              </w:rPr>
              <w:t>Teamsport</w:t>
            </w:r>
            <w:proofErr w:type="spellEnd"/>
            <w:r>
              <w:rPr>
                <w:rFonts w:ascii="Calibri" w:hAnsi="Calibri" w:cs="Calibri"/>
                <w:color w:val="000000"/>
              </w:rPr>
              <w:t>, BUKC events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9"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9564C3">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0"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9"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9564C3">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0"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9"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9564C3">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06E9410A" w14:textId="23DED347" w:rsidR="00D81536" w:rsidRPr="009D0EE5"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0"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9"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9564C3">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0"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9"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9564C3">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9564C3">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9564C3">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4964E5BD" w:rsidR="00D81536" w:rsidRDefault="00D81536" w:rsidP="00D81536">
            <w:pPr>
              <w:rPr>
                <w:rFonts w:ascii="Calibri" w:eastAsia="Calibri" w:hAnsi="Calibri" w:cs="Calibri"/>
              </w:rPr>
            </w:pPr>
            <w:r>
              <w:rPr>
                <w:rFonts w:ascii="Calibri" w:eastAsia="Calibri" w:hAnsi="Calibri" w:cs="Calibri"/>
              </w:rPr>
              <w:t>Vehicle’s collision -causing serious injury</w:t>
            </w:r>
            <w:r w:rsidR="009564C3">
              <w:rPr>
                <w:rFonts w:ascii="Calibri" w:eastAsia="Calibri" w:hAnsi="Calibri" w:cs="Calibri"/>
              </w:rPr>
              <w:t>, mis-use of travelling transport</w:t>
            </w:r>
          </w:p>
        </w:tc>
        <w:tc>
          <w:tcPr>
            <w:tcW w:w="670"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9"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9564C3">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9564C3">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0"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9564C3">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9"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9564C3">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9564C3">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9564C3">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9564C3">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9564C3">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752"/>
        <w:gridCol w:w="2034"/>
        <w:gridCol w:w="1271"/>
        <w:gridCol w:w="1019"/>
        <w:gridCol w:w="4195"/>
        <w:gridCol w:w="14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9D0EE5" w:rsidRPr="00957A37" w14:paraId="3C5F048C" w14:textId="77777777" w:rsidTr="009D0EE5">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44"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3"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1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9D0EE5" w:rsidRPr="00957A37" w14:paraId="3C5F0493" w14:textId="77777777" w:rsidTr="009D0EE5">
        <w:trPr>
          <w:trHeight w:val="574"/>
        </w:trPr>
        <w:tc>
          <w:tcPr>
            <w:tcW w:w="218" w:type="pct"/>
          </w:tcPr>
          <w:p w14:paraId="3C5F048D" w14:textId="40E3C882" w:rsidR="00C642F4" w:rsidRPr="00957A37" w:rsidRDefault="009D0EE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44" w:type="pct"/>
          </w:tcPr>
          <w:p w14:paraId="7229A859" w14:textId="77777777" w:rsidR="009D0EE5" w:rsidRDefault="009D0EE5" w:rsidP="00124F67">
            <w:pPr>
              <w:autoSpaceDE w:val="0"/>
              <w:autoSpaceDN w:val="0"/>
              <w:adjustRightInd w:val="0"/>
              <w:spacing w:after="0" w:line="240" w:lineRule="auto"/>
              <w:outlineLvl w:val="0"/>
            </w:pPr>
            <w:r>
              <w:t xml:space="preserve">Individual risk assessments for individual events with higher risk levels and anything not covered by generic assessment. This includes: </w:t>
            </w:r>
          </w:p>
          <w:p w14:paraId="169E31D4" w14:textId="77777777" w:rsidR="009D0EE5" w:rsidRDefault="009D0EE5" w:rsidP="00124F67">
            <w:pPr>
              <w:autoSpaceDE w:val="0"/>
              <w:autoSpaceDN w:val="0"/>
              <w:adjustRightInd w:val="0"/>
              <w:spacing w:after="0" w:line="240" w:lineRule="auto"/>
              <w:outlineLvl w:val="0"/>
            </w:pPr>
            <w:r>
              <w:t xml:space="preserve">• Trips and Tours </w:t>
            </w:r>
          </w:p>
          <w:p w14:paraId="3255C378" w14:textId="77777777" w:rsidR="009D0EE5" w:rsidRDefault="009D0EE5" w:rsidP="00124F67">
            <w:pPr>
              <w:autoSpaceDE w:val="0"/>
              <w:autoSpaceDN w:val="0"/>
              <w:adjustRightInd w:val="0"/>
              <w:spacing w:after="0" w:line="240" w:lineRule="auto"/>
              <w:outlineLvl w:val="0"/>
            </w:pPr>
            <w:r>
              <w:t>• Fundraising events e.g. Bake Sales</w:t>
            </w:r>
          </w:p>
          <w:p w14:paraId="3C5F048E" w14:textId="1F389CED" w:rsidR="00C642F4" w:rsidRPr="00957A37" w:rsidRDefault="009D0EE5" w:rsidP="00124F67">
            <w:pPr>
              <w:autoSpaceDE w:val="0"/>
              <w:autoSpaceDN w:val="0"/>
              <w:adjustRightInd w:val="0"/>
              <w:spacing w:after="0" w:line="240" w:lineRule="auto"/>
              <w:outlineLvl w:val="0"/>
              <w:rPr>
                <w:rFonts w:ascii="Lucida Sans" w:eastAsia="Times New Roman" w:hAnsi="Lucida Sans" w:cs="Arial"/>
                <w:color w:val="000000"/>
                <w:szCs w:val="20"/>
              </w:rPr>
            </w:pPr>
            <w:r>
              <w:t>• External Speaker Events</w:t>
            </w:r>
          </w:p>
        </w:tc>
        <w:tc>
          <w:tcPr>
            <w:tcW w:w="576" w:type="pct"/>
          </w:tcPr>
          <w:p w14:paraId="3C5F048F" w14:textId="49643D40" w:rsidR="00C642F4" w:rsidRPr="00957A37" w:rsidRDefault="009D0EE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Events secretary/ President</w:t>
            </w:r>
          </w:p>
        </w:tc>
        <w:tc>
          <w:tcPr>
            <w:tcW w:w="413" w:type="pct"/>
          </w:tcPr>
          <w:p w14:paraId="3C5F0490" w14:textId="38323736" w:rsidR="00C642F4" w:rsidRPr="00957A37" w:rsidRDefault="009D0EE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01/01/25</w:t>
            </w:r>
          </w:p>
        </w:tc>
        <w:tc>
          <w:tcPr>
            <w:tcW w:w="331" w:type="pct"/>
            <w:tcBorders>
              <w:right w:val="single" w:sz="18" w:space="0" w:color="auto"/>
            </w:tcBorders>
          </w:tcPr>
          <w:p w14:paraId="3C5F0491" w14:textId="6BD11097" w:rsidR="00C642F4" w:rsidRPr="00957A37" w:rsidRDefault="009D0EE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08/25</w:t>
            </w:r>
          </w:p>
        </w:tc>
        <w:tc>
          <w:tcPr>
            <w:tcW w:w="1918"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9A" w14:textId="77777777" w:rsidTr="009D0EE5">
        <w:trPr>
          <w:trHeight w:val="574"/>
        </w:trPr>
        <w:tc>
          <w:tcPr>
            <w:tcW w:w="218" w:type="pct"/>
          </w:tcPr>
          <w:p w14:paraId="3C5F0494" w14:textId="4E766F55"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44" w:type="pct"/>
          </w:tcPr>
          <w:p w14:paraId="3C5F0495" w14:textId="06A28B69"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t>Committee to read and share SUSU Expect Respect Policy</w:t>
            </w:r>
          </w:p>
        </w:tc>
        <w:tc>
          <w:tcPr>
            <w:tcW w:w="576" w:type="pct"/>
          </w:tcPr>
          <w:p w14:paraId="3C5F0496" w14:textId="5BC219F4"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Entire Committee, especially ones involved in particular activity.</w:t>
            </w:r>
          </w:p>
        </w:tc>
        <w:tc>
          <w:tcPr>
            <w:tcW w:w="413" w:type="pct"/>
          </w:tcPr>
          <w:p w14:paraId="3C5F0497" w14:textId="251DAB11"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01/01/25</w:t>
            </w:r>
          </w:p>
        </w:tc>
        <w:tc>
          <w:tcPr>
            <w:tcW w:w="331" w:type="pct"/>
            <w:tcBorders>
              <w:right w:val="single" w:sz="18" w:space="0" w:color="auto"/>
            </w:tcBorders>
          </w:tcPr>
          <w:p w14:paraId="3C5F0498" w14:textId="7E38702E"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08/25</w:t>
            </w:r>
          </w:p>
        </w:tc>
        <w:tc>
          <w:tcPr>
            <w:tcW w:w="1918" w:type="pct"/>
            <w:gridSpan w:val="2"/>
            <w:tcBorders>
              <w:left w:val="single" w:sz="18" w:space="0" w:color="auto"/>
            </w:tcBorders>
          </w:tcPr>
          <w:p w14:paraId="3C5F0499"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A1" w14:textId="77777777" w:rsidTr="009D0EE5">
        <w:trPr>
          <w:trHeight w:val="574"/>
        </w:trPr>
        <w:tc>
          <w:tcPr>
            <w:tcW w:w="218" w:type="pct"/>
          </w:tcPr>
          <w:p w14:paraId="3C5F049B" w14:textId="77777777"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9C"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576" w:type="pct"/>
          </w:tcPr>
          <w:p w14:paraId="3C5F049D"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Pr>
          <w:p w14:paraId="3C5F049E"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A0"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A8" w14:textId="77777777" w:rsidTr="009D0EE5">
        <w:trPr>
          <w:trHeight w:val="574"/>
        </w:trPr>
        <w:tc>
          <w:tcPr>
            <w:tcW w:w="218" w:type="pct"/>
          </w:tcPr>
          <w:p w14:paraId="3C5F04A2" w14:textId="77777777"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A3"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576" w:type="pct"/>
          </w:tcPr>
          <w:p w14:paraId="3C5F04A4"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Pr>
          <w:p w14:paraId="3C5F04A5"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A7"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AF" w14:textId="77777777" w:rsidTr="009D0EE5">
        <w:trPr>
          <w:trHeight w:val="574"/>
        </w:trPr>
        <w:tc>
          <w:tcPr>
            <w:tcW w:w="218" w:type="pct"/>
          </w:tcPr>
          <w:p w14:paraId="3C5F04A9" w14:textId="77777777"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AA"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576" w:type="pct"/>
          </w:tcPr>
          <w:p w14:paraId="3C5F04AB"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Pr>
          <w:p w14:paraId="3C5F04AC"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AE"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B6" w14:textId="77777777" w:rsidTr="009D0EE5">
        <w:trPr>
          <w:trHeight w:val="574"/>
        </w:trPr>
        <w:tc>
          <w:tcPr>
            <w:tcW w:w="218" w:type="pct"/>
          </w:tcPr>
          <w:p w14:paraId="3C5F04B0" w14:textId="77777777"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B1"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576" w:type="pct"/>
          </w:tcPr>
          <w:p w14:paraId="3C5F04B2"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Pr>
          <w:p w14:paraId="3C5F04B3"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B5"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BE" w14:textId="77777777" w:rsidTr="009D0EE5">
        <w:trPr>
          <w:trHeight w:val="574"/>
        </w:trPr>
        <w:tc>
          <w:tcPr>
            <w:tcW w:w="218" w:type="pct"/>
          </w:tcPr>
          <w:p w14:paraId="3C5F04B7" w14:textId="77777777" w:rsidR="009D0EE5" w:rsidRPr="00957A37" w:rsidRDefault="009D0EE5" w:rsidP="009D0EE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B8"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p w14:paraId="17E4B4D1"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p w14:paraId="6BAC164F"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p w14:paraId="22A7FB6D"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p w14:paraId="46AE79D6"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576" w:type="pct"/>
          </w:tcPr>
          <w:p w14:paraId="3C5F04BA"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Pr>
          <w:p w14:paraId="3C5F04BB"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1918" w:type="pct"/>
            <w:gridSpan w:val="2"/>
            <w:tcBorders>
              <w:left w:val="single" w:sz="18" w:space="0" w:color="auto"/>
            </w:tcBorders>
          </w:tcPr>
          <w:p w14:paraId="3C5F04BD"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r>
      <w:tr w:rsidR="009D0EE5" w:rsidRPr="00957A37" w14:paraId="3C5F04C2" w14:textId="77777777" w:rsidTr="009D0EE5">
        <w:trPr>
          <w:cantSplit/>
        </w:trPr>
        <w:tc>
          <w:tcPr>
            <w:tcW w:w="2751" w:type="pct"/>
            <w:gridSpan w:val="4"/>
            <w:tcBorders>
              <w:bottom w:val="nil"/>
            </w:tcBorders>
          </w:tcPr>
          <w:p w14:paraId="3C5F04BF" w14:textId="452F22F5"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44556ABE" w14:textId="57E29BF8" w:rsidR="009D0EE5"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r w:rsidRPr="009D0EE5">
              <w:rPr>
                <w:rFonts w:ascii="Lucida Sans" w:eastAsia="Times New Roman" w:hAnsi="Lucida Sans" w:cs="Arial"/>
                <w:noProof/>
                <w:color w:val="FF0000"/>
                <w:szCs w:val="20"/>
              </w:rPr>
              <w:drawing>
                <wp:inline distT="0" distB="0" distL="0" distR="0" wp14:anchorId="740C8E33" wp14:editId="20B842AD">
                  <wp:extent cx="2453853" cy="922100"/>
                  <wp:effectExtent l="0" t="0" r="3810" b="0"/>
                  <wp:docPr id="7926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5896" name=""/>
                          <pic:cNvPicPr/>
                        </pic:nvPicPr>
                        <pic:blipFill>
                          <a:blip r:embed="rId29"/>
                          <a:stretch>
                            <a:fillRect/>
                          </a:stretch>
                        </pic:blipFill>
                        <pic:spPr>
                          <a:xfrm>
                            <a:off x="0" y="0"/>
                            <a:ext cx="2453853" cy="922100"/>
                          </a:xfrm>
                          <a:prstGeom prst="rect">
                            <a:avLst/>
                          </a:prstGeom>
                        </pic:spPr>
                      </pic:pic>
                    </a:graphicData>
                  </a:graphic>
                </wp:inline>
              </w:drawing>
            </w:r>
          </w:p>
          <w:p w14:paraId="675B97B5" w14:textId="77777777" w:rsidR="009D0EE5" w:rsidRPr="007A7454"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p>
          <w:p w14:paraId="3C5F04C0" w14:textId="77777777"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p>
        </w:tc>
        <w:tc>
          <w:tcPr>
            <w:tcW w:w="2249" w:type="pct"/>
            <w:gridSpan w:val="3"/>
            <w:tcBorders>
              <w:bottom w:val="nil"/>
            </w:tcBorders>
          </w:tcPr>
          <w:p w14:paraId="5FA918A3" w14:textId="77777777" w:rsidR="009D0EE5"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1" w14:textId="6EE5350E" w:rsidR="009D0EE5" w:rsidRPr="007A7454" w:rsidRDefault="009D0EE5" w:rsidP="009D0EE5">
            <w:pPr>
              <w:autoSpaceDE w:val="0"/>
              <w:autoSpaceDN w:val="0"/>
              <w:adjustRightInd w:val="0"/>
              <w:spacing w:after="0" w:line="240" w:lineRule="auto"/>
              <w:outlineLvl w:val="0"/>
              <w:rPr>
                <w:rFonts w:ascii="Lucida Sans" w:eastAsia="Times New Roman" w:hAnsi="Lucida Sans" w:cs="Arial"/>
                <w:color w:val="FF0000"/>
                <w:szCs w:val="20"/>
              </w:rPr>
            </w:pPr>
            <w:r>
              <w:rPr>
                <w:noProof/>
              </w:rPr>
              <w:drawing>
                <wp:inline distT="0" distB="0" distL="0" distR="0" wp14:anchorId="1E2948EC" wp14:editId="5995250A">
                  <wp:extent cx="2316480" cy="1630313"/>
                  <wp:effectExtent l="0" t="0" r="7620" b="8255"/>
                  <wp:docPr id="1448948870" name="Picture 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7151" cy="1637823"/>
                          </a:xfrm>
                          <a:prstGeom prst="rect">
                            <a:avLst/>
                          </a:prstGeom>
                          <a:noFill/>
                          <a:ln>
                            <a:noFill/>
                          </a:ln>
                        </pic:spPr>
                      </pic:pic>
                    </a:graphicData>
                  </a:graphic>
                </wp:inline>
              </w:drawing>
            </w:r>
          </w:p>
        </w:tc>
      </w:tr>
      <w:tr w:rsidR="009D0EE5" w:rsidRPr="00957A37" w14:paraId="3C5F04C7" w14:textId="77777777" w:rsidTr="009D0EE5">
        <w:trPr>
          <w:cantSplit/>
          <w:trHeight w:val="606"/>
        </w:trPr>
        <w:tc>
          <w:tcPr>
            <w:tcW w:w="2423" w:type="pct"/>
            <w:gridSpan w:val="3"/>
            <w:tcBorders>
              <w:top w:val="nil"/>
              <w:right w:val="nil"/>
            </w:tcBorders>
          </w:tcPr>
          <w:p w14:paraId="3C5F04C3" w14:textId="208C3160"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Samuel Heathcote</w:t>
            </w:r>
          </w:p>
        </w:tc>
        <w:tc>
          <w:tcPr>
            <w:tcW w:w="328" w:type="pct"/>
            <w:tcBorders>
              <w:top w:val="nil"/>
              <w:left w:val="nil"/>
            </w:tcBorders>
          </w:tcPr>
          <w:p w14:paraId="3C5F04C4" w14:textId="0C3B4B4E"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09/09/24</w:t>
            </w:r>
          </w:p>
        </w:tc>
        <w:tc>
          <w:tcPr>
            <w:tcW w:w="1694" w:type="pct"/>
            <w:gridSpan w:val="2"/>
            <w:tcBorders>
              <w:top w:val="nil"/>
              <w:right w:val="nil"/>
            </w:tcBorders>
          </w:tcPr>
          <w:p w14:paraId="3C5F04C5" w14:textId="42DEEB74"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William Taylor</w:t>
            </w:r>
          </w:p>
        </w:tc>
        <w:tc>
          <w:tcPr>
            <w:tcW w:w="555" w:type="pct"/>
            <w:tcBorders>
              <w:top w:val="nil"/>
              <w:left w:val="nil"/>
            </w:tcBorders>
          </w:tcPr>
          <w:p w14:paraId="3C5F04C6" w14:textId="3478B21D" w:rsidR="009D0EE5" w:rsidRPr="00957A37" w:rsidRDefault="009D0EE5" w:rsidP="009D0EE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09/09/24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AB22" w14:textId="77777777" w:rsidR="00076710" w:rsidRDefault="00076710" w:rsidP="00AC47B4">
      <w:pPr>
        <w:spacing w:after="0" w:line="240" w:lineRule="auto"/>
      </w:pPr>
      <w:r>
        <w:separator/>
      </w:r>
    </w:p>
  </w:endnote>
  <w:endnote w:type="continuationSeparator" w:id="0">
    <w:p w14:paraId="256FE463" w14:textId="77777777" w:rsidR="00076710" w:rsidRDefault="0007671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B64A" w14:textId="77777777" w:rsidR="00076710" w:rsidRDefault="00076710" w:rsidP="00AC47B4">
      <w:pPr>
        <w:spacing w:after="0" w:line="240" w:lineRule="auto"/>
      </w:pPr>
      <w:r>
        <w:separator/>
      </w:r>
    </w:p>
  </w:footnote>
  <w:footnote w:type="continuationSeparator" w:id="0">
    <w:p w14:paraId="412EA0D3" w14:textId="77777777" w:rsidR="00076710" w:rsidRDefault="0007671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76710"/>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2D0E"/>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15FA"/>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560AB"/>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0FE4"/>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564C3"/>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EE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2D60"/>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jpe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Samuel Heathcote (sh4g22)</cp:lastModifiedBy>
  <cp:revision>2</cp:revision>
  <cp:lastPrinted>2016-04-18T12:10:00Z</cp:lastPrinted>
  <dcterms:created xsi:type="dcterms:W3CDTF">2024-09-23T14:43:00Z</dcterms:created>
  <dcterms:modified xsi:type="dcterms:W3CDTF">2024-09-23T14:43:00Z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