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2F07253B" w:rsidR="00A156C3" w:rsidRPr="008D34F0" w:rsidRDefault="008D34F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Training Sessions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345669A" w:rsidR="00A156C3" w:rsidRPr="008D34F0" w:rsidRDefault="008D34F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11/09/2023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52B5F3D8" w:rsidR="00A156C3" w:rsidRPr="008D34F0" w:rsidRDefault="008D34F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University of Southampton Empower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DEAF71C" w:rsidR="00A156C3" w:rsidRPr="008D34F0" w:rsidRDefault="008D34F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Alexandra Dowell – Empower President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095F85E2" w14:textId="77777777" w:rsidR="00EB5320" w:rsidRDefault="008D34F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lang w:eastAsia="en-GB"/>
              </w:rPr>
              <w:t>Alexandra Dowell – Co-President</w:t>
            </w:r>
          </w:p>
          <w:p w14:paraId="3C5F0407" w14:textId="52B061B1" w:rsidR="008D34F0" w:rsidRPr="008D34F0" w:rsidRDefault="008D34F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lang w:eastAsia="en-GB"/>
              </w:rPr>
              <w:t xml:space="preserve">Sophie Ghods – Co-President 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0"/>
        <w:gridCol w:w="2631"/>
        <w:gridCol w:w="1938"/>
        <w:gridCol w:w="488"/>
        <w:gridCol w:w="488"/>
        <w:gridCol w:w="498"/>
        <w:gridCol w:w="3037"/>
        <w:gridCol w:w="488"/>
        <w:gridCol w:w="498"/>
        <w:gridCol w:w="489"/>
        <w:gridCol w:w="300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625D09">
        <w:trPr>
          <w:tblHeader/>
        </w:trPr>
        <w:tc>
          <w:tcPr>
            <w:tcW w:w="207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625D09">
        <w:trPr>
          <w:tblHeader/>
        </w:trPr>
        <w:tc>
          <w:tcPr>
            <w:tcW w:w="59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5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8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625D09">
        <w:trPr>
          <w:cantSplit/>
          <w:trHeight w:val="1510"/>
          <w:tblHeader/>
        </w:trPr>
        <w:tc>
          <w:tcPr>
            <w:tcW w:w="59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5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0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625D09">
        <w:trPr>
          <w:cantSplit/>
          <w:trHeight w:val="1296"/>
        </w:trPr>
        <w:tc>
          <w:tcPr>
            <w:tcW w:w="595" w:type="pct"/>
            <w:shd w:val="clear" w:color="auto" w:fill="FFFFFF" w:themeFill="background1"/>
          </w:tcPr>
          <w:p w14:paraId="3C5F042C" w14:textId="2CAE2959" w:rsidR="00CE1AAA" w:rsidRDefault="008D34F0">
            <w:r>
              <w:t>Use of equipment such as barbells/</w:t>
            </w:r>
            <w:proofErr w:type="spellStart"/>
            <w:r>
              <w:t>dumbells</w:t>
            </w:r>
            <w:proofErr w:type="spellEnd"/>
          </w:p>
        </w:tc>
        <w:tc>
          <w:tcPr>
            <w:tcW w:w="855" w:type="pct"/>
            <w:shd w:val="clear" w:color="auto" w:fill="FFFFFF" w:themeFill="background1"/>
          </w:tcPr>
          <w:p w14:paraId="3C5F042D" w14:textId="2A401967" w:rsidR="00CE1AAA" w:rsidRDefault="008D34F0">
            <w:r>
              <w:t xml:space="preserve">Injuries if equipment used incorrectly / accidental injury 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2E" w14:textId="3B281779" w:rsidR="00CE1AAA" w:rsidRDefault="008D34F0">
            <w:r>
              <w:t>User of equipment or members nearby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0C194737" w:rsidR="00CE1AAA" w:rsidRPr="00957A37" w:rsidRDefault="008D34F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40CDBCAE" w:rsidR="00CE1AAA" w:rsidRPr="00957A37" w:rsidRDefault="008D34F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2FCC45CA" w:rsidR="00CE1AAA" w:rsidRPr="00957A37" w:rsidRDefault="008D34F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600A4BD6" w14:textId="77777777" w:rsidR="00CE1AAA" w:rsidRDefault="008D34F0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Personal trainer / committee members are present at all training sessions to demonstrate correct form.</w:t>
            </w:r>
          </w:p>
          <w:p w14:paraId="3C5F0432" w14:textId="6A092709" w:rsidR="008D34F0" w:rsidRPr="008D34F0" w:rsidRDefault="008D34F0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Activities where members are using equipment they haven’t used before will be done in groups and there will always be guided demonstrations beforehand.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7C2B6F1D" w:rsidR="00CE1AAA" w:rsidRPr="00957A37" w:rsidRDefault="008D34F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2952AC7D" w:rsidR="00CE1AAA" w:rsidRPr="00957A37" w:rsidRDefault="008D34F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63B0021D" w:rsidR="00CE1AAA" w:rsidRPr="00957A37" w:rsidRDefault="008D34F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14:paraId="63801C97" w14:textId="77777777" w:rsidR="00CE1AAA" w:rsidRDefault="008D34F0">
            <w:r>
              <w:t xml:space="preserve">First aid is available at the Wide Lane facility. </w:t>
            </w:r>
          </w:p>
          <w:p w14:paraId="3C5F0436" w14:textId="1975B337" w:rsidR="008D34F0" w:rsidRDefault="008D34F0">
            <w:r>
              <w:t xml:space="preserve">Any injuries are recorded and exercise/equipment used at time of injury will be appropriately reviewed. </w:t>
            </w:r>
          </w:p>
        </w:tc>
      </w:tr>
      <w:tr w:rsidR="00CE1AAA" w14:paraId="3C5F0443" w14:textId="77777777" w:rsidTr="00625D09">
        <w:trPr>
          <w:cantSplit/>
          <w:trHeight w:val="1296"/>
        </w:trPr>
        <w:tc>
          <w:tcPr>
            <w:tcW w:w="595" w:type="pct"/>
            <w:shd w:val="clear" w:color="auto" w:fill="FFFFFF" w:themeFill="background1"/>
          </w:tcPr>
          <w:p w14:paraId="3C5F0438" w14:textId="3C66C85A" w:rsidR="00CE1AAA" w:rsidRDefault="008D34F0">
            <w:r>
              <w:lastRenderedPageBreak/>
              <w:t xml:space="preserve">Faulty gym equipment </w:t>
            </w:r>
          </w:p>
        </w:tc>
        <w:tc>
          <w:tcPr>
            <w:tcW w:w="855" w:type="pct"/>
            <w:shd w:val="clear" w:color="auto" w:fill="FFFFFF" w:themeFill="background1"/>
          </w:tcPr>
          <w:p w14:paraId="3C5F0439" w14:textId="04604EB3" w:rsidR="00CE1AAA" w:rsidRDefault="00774B1B">
            <w:r>
              <w:t>Injury to user, injury to surrounding people, damage to facility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3A" w14:textId="72855817" w:rsidR="00CE1AAA" w:rsidRDefault="00774B1B">
            <w:r>
              <w:t>User and participants nearby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009154AF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626A6775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270FE1F4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155862D9" w14:textId="77777777" w:rsidR="00CE1AAA" w:rsidRPr="00625D09" w:rsidRDefault="00774B1B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 xml:space="preserve">Equipment checked by qualified personnel before every session set. </w:t>
            </w:r>
          </w:p>
          <w:p w14:paraId="3C5F043E" w14:textId="337A3CBE" w:rsidR="00774B1B" w:rsidRPr="00774B1B" w:rsidRDefault="00774B1B">
            <w:pPr>
              <w:rPr>
                <w:rFonts w:ascii="Lucida Sans" w:hAnsi="Lucida Sans"/>
                <w:bCs/>
              </w:rPr>
            </w:pPr>
            <w:r w:rsidRPr="00625D09">
              <w:rPr>
                <w:rFonts w:cstheme="minorHAnsi"/>
                <w:bCs/>
              </w:rPr>
              <w:t>Members are educated on how to spot unsafe equipment when performing an exercise.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4BAC9009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361E77B8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49E3AE80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14:paraId="69EF7A3E" w14:textId="77777777" w:rsidR="00CE1AAA" w:rsidRDefault="00774B1B">
            <w:r>
              <w:t>First aid available at Wide Lane Facility.</w:t>
            </w:r>
          </w:p>
          <w:p w14:paraId="77B02B02" w14:textId="77777777" w:rsidR="00774B1B" w:rsidRDefault="00774B1B">
            <w:r>
              <w:t xml:space="preserve">Report faulty equipment to Wide Lane team. </w:t>
            </w:r>
          </w:p>
          <w:p w14:paraId="3C5F0442" w14:textId="29A746D4" w:rsidR="00774B1B" w:rsidRDefault="00774B1B">
            <w:r>
              <w:t xml:space="preserve">Record any injuries and review related equipment / exercise. </w:t>
            </w:r>
          </w:p>
        </w:tc>
      </w:tr>
      <w:tr w:rsidR="00CE1AAA" w14:paraId="3C5F044F" w14:textId="77777777" w:rsidTr="00625D09">
        <w:trPr>
          <w:cantSplit/>
          <w:trHeight w:val="1296"/>
        </w:trPr>
        <w:tc>
          <w:tcPr>
            <w:tcW w:w="595" w:type="pct"/>
            <w:shd w:val="clear" w:color="auto" w:fill="FFFFFF" w:themeFill="background1"/>
          </w:tcPr>
          <w:p w14:paraId="3C5F0444" w14:textId="762CC164" w:rsidR="00CE1AAA" w:rsidRDefault="00774B1B">
            <w:r>
              <w:t xml:space="preserve">Training whilst unfit or with a previous medical condition / injury </w:t>
            </w:r>
          </w:p>
        </w:tc>
        <w:tc>
          <w:tcPr>
            <w:tcW w:w="855" w:type="pct"/>
            <w:shd w:val="clear" w:color="auto" w:fill="FFFFFF" w:themeFill="background1"/>
          </w:tcPr>
          <w:p w14:paraId="3C5F0445" w14:textId="2F916309" w:rsidR="00CE1AAA" w:rsidRDefault="00774B1B">
            <w:r>
              <w:t>Injury (muscle/joint strain), impact injury, bruises, cuts, concussion, etc.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1F9B0DE3" w:rsidR="00CE1AAA" w:rsidRDefault="00774B1B">
            <w:r>
              <w:t xml:space="preserve">Anyone performing an activity that meets the previous criteria.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1A707F7B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68D74622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15137FA6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14342574" w14:textId="77777777" w:rsidR="00CE1AAA" w:rsidRPr="00625D09" w:rsidRDefault="00774B1B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 xml:space="preserve">Members are educated on the risks of exercising with any pre-existing conditions and encouraged to disclose any injury or pre-existing medical condition to a committee member or the instructor. </w:t>
            </w:r>
          </w:p>
          <w:p w14:paraId="3C5F044A" w14:textId="4F236E31" w:rsidR="00774B1B" w:rsidRPr="00774B1B" w:rsidRDefault="00774B1B">
            <w:pPr>
              <w:rPr>
                <w:rFonts w:ascii="Lucida Sans" w:hAnsi="Lucida Sans"/>
                <w:bCs/>
              </w:rPr>
            </w:pPr>
            <w:r w:rsidRPr="00625D09">
              <w:rPr>
                <w:rFonts w:cstheme="minorHAnsi"/>
                <w:bCs/>
              </w:rPr>
              <w:t>All members partake in warm-ups and stretching before and after training.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1D4738BA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5057F2C3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59090FB6" w:rsidR="00CE1AAA" w:rsidRPr="00957A37" w:rsidRDefault="00774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0" w:type="pct"/>
            <w:shd w:val="clear" w:color="auto" w:fill="FFFFFF" w:themeFill="background1"/>
          </w:tcPr>
          <w:p w14:paraId="551002A3" w14:textId="77777777" w:rsidR="00CE1AAA" w:rsidRDefault="00774B1B">
            <w:r>
              <w:t>Further education to members on when to / not to perform certain exercises.</w:t>
            </w:r>
          </w:p>
          <w:p w14:paraId="3C5F044E" w14:textId="4CBBA409" w:rsidR="00774B1B" w:rsidRDefault="00774B1B">
            <w:r>
              <w:t xml:space="preserve">First aid available at Wide Lane Facility. </w:t>
            </w:r>
          </w:p>
        </w:tc>
      </w:tr>
      <w:tr w:rsidR="00CE1AAA" w14:paraId="3C5F0467" w14:textId="77777777" w:rsidTr="00625D09">
        <w:trPr>
          <w:cantSplit/>
          <w:trHeight w:val="1296"/>
        </w:trPr>
        <w:tc>
          <w:tcPr>
            <w:tcW w:w="595" w:type="pct"/>
            <w:shd w:val="clear" w:color="auto" w:fill="FFFFFF" w:themeFill="background1"/>
          </w:tcPr>
          <w:p w14:paraId="3C5F045C" w14:textId="0DC8B528" w:rsidR="00CE1AAA" w:rsidRDefault="00774B1B">
            <w:r>
              <w:lastRenderedPageBreak/>
              <w:t>Exhaustion from training</w:t>
            </w:r>
          </w:p>
        </w:tc>
        <w:tc>
          <w:tcPr>
            <w:tcW w:w="855" w:type="pct"/>
            <w:shd w:val="clear" w:color="auto" w:fill="FFFFFF" w:themeFill="background1"/>
          </w:tcPr>
          <w:p w14:paraId="3C5F045D" w14:textId="6EB89C81" w:rsidR="00CE1AAA" w:rsidRDefault="00774B1B">
            <w:r>
              <w:t xml:space="preserve">Short-term nausea, tiredness, dehydration, </w:t>
            </w:r>
            <w:r w:rsidR="00625D09">
              <w:t>light-headedness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E" w14:textId="5AD22C30" w:rsidR="00CE1AAA" w:rsidRDefault="00625D09">
            <w:r>
              <w:t>Individual involved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4BF6136A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3A53AB84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36E7B0E9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6D2CE79" w14:textId="77777777" w:rsidR="00CE1AAA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 xml:space="preserve">Supervision of session by the instructor and committee members to ensure assistance can be given to those struggling. </w:t>
            </w:r>
          </w:p>
          <w:p w14:paraId="292A2A9F" w14:textId="77777777" w:rsidR="00625D09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 xml:space="preserve">Participants required to bring water and refreshments. </w:t>
            </w:r>
          </w:p>
          <w:p w14:paraId="0DB17EA9" w14:textId="77777777" w:rsidR="00625D09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 xml:space="preserve">Water can be refilled outside facility. </w:t>
            </w:r>
          </w:p>
          <w:p w14:paraId="3C5F0462" w14:textId="7EF51FD3" w:rsidR="00625D09" w:rsidRPr="00625D09" w:rsidRDefault="00625D09">
            <w:pPr>
              <w:rPr>
                <w:rFonts w:ascii="Lucida Sans" w:hAnsi="Lucida Sans"/>
                <w:bCs/>
              </w:rPr>
            </w:pPr>
            <w:r w:rsidRPr="00625D09">
              <w:rPr>
                <w:rFonts w:cstheme="minorHAnsi"/>
                <w:bCs/>
              </w:rPr>
              <w:t>Educating members on the importance of keeping hydrated and a well-balanced diet when exercising.</w:t>
            </w:r>
            <w:r w:rsidRPr="00625D09">
              <w:rPr>
                <w:rFonts w:ascii="Lucida Sans" w:hAnsi="Lucida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1CD2EE12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6303EB4C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2866BCBF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54FFD603" w14:textId="77777777" w:rsidR="00625D09" w:rsidRDefault="00625D09">
            <w:r>
              <w:t>Call emergency services if exhaustion is severe.</w:t>
            </w:r>
          </w:p>
          <w:p w14:paraId="0DD7E453" w14:textId="77777777" w:rsidR="00625D09" w:rsidRDefault="00625D09">
            <w:r>
              <w:t>First Aid available at Wide Lane Facility.</w:t>
            </w:r>
          </w:p>
          <w:p w14:paraId="3C5F0466" w14:textId="03A833E5" w:rsidR="00625D09" w:rsidRDefault="00625D09"/>
        </w:tc>
      </w:tr>
      <w:tr w:rsidR="00CE1AAA" w14:paraId="3C5F0473" w14:textId="77777777" w:rsidTr="00625D09">
        <w:trPr>
          <w:cantSplit/>
          <w:trHeight w:val="1296"/>
        </w:trPr>
        <w:tc>
          <w:tcPr>
            <w:tcW w:w="595" w:type="pct"/>
            <w:shd w:val="clear" w:color="auto" w:fill="FFFFFF" w:themeFill="background1"/>
          </w:tcPr>
          <w:p w14:paraId="3C5F0468" w14:textId="6EC407CA" w:rsidR="00CE1AAA" w:rsidRDefault="00625D09">
            <w:r>
              <w:lastRenderedPageBreak/>
              <w:t>Overcrowding the training space</w:t>
            </w:r>
          </w:p>
        </w:tc>
        <w:tc>
          <w:tcPr>
            <w:tcW w:w="855" w:type="pct"/>
            <w:shd w:val="clear" w:color="auto" w:fill="FFFFFF" w:themeFill="background1"/>
          </w:tcPr>
          <w:p w14:paraId="3C5F0469" w14:textId="5AB3B3DA" w:rsidR="00CE1AAA" w:rsidRDefault="00625D09">
            <w:r>
              <w:t>Various injuries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27E08004" w:rsidR="00CE1AAA" w:rsidRDefault="00625D09">
            <w:r>
              <w:t>Anyone training within the facility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6A9BF1CB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7B97D880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0B59ABF3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053C2C11" w14:textId="77777777" w:rsidR="00CE1AAA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>Use a booking system to limit the capacity to follow with guidelines of training space.</w:t>
            </w:r>
          </w:p>
          <w:p w14:paraId="59D50A49" w14:textId="77777777" w:rsidR="00625D09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>For these sessions the capacity is 15 people plus qualified trainer(s).</w:t>
            </w:r>
          </w:p>
          <w:p w14:paraId="3C5F046E" w14:textId="1B982B62" w:rsidR="00625D09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 xml:space="preserve">Educate members on the importance to keeping appropriate distance from other people training, and to remain aware throughout the session.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4FC0E82D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3697D3E6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79A8F851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701F5746" w14:textId="77777777" w:rsidR="00CE1AAA" w:rsidRDefault="00625D09">
            <w:r>
              <w:t xml:space="preserve">Provide enough time slots to accommodate the group. </w:t>
            </w:r>
          </w:p>
          <w:p w14:paraId="3C5F0472" w14:textId="34AC4D86" w:rsidR="00625D09" w:rsidRDefault="00625D09"/>
        </w:tc>
      </w:tr>
      <w:tr w:rsidR="00CE1AAA" w14:paraId="3C5F047F" w14:textId="77777777" w:rsidTr="00625D09">
        <w:trPr>
          <w:cantSplit/>
          <w:trHeight w:val="1296"/>
        </w:trPr>
        <w:tc>
          <w:tcPr>
            <w:tcW w:w="595" w:type="pct"/>
            <w:shd w:val="clear" w:color="auto" w:fill="FFFFFF" w:themeFill="background1"/>
          </w:tcPr>
          <w:p w14:paraId="3C5F0474" w14:textId="54A471ED" w:rsidR="00CE1AAA" w:rsidRDefault="00625D09">
            <w:r>
              <w:t>Slipping on the training room floor</w:t>
            </w:r>
          </w:p>
        </w:tc>
        <w:tc>
          <w:tcPr>
            <w:tcW w:w="855" w:type="pct"/>
            <w:shd w:val="clear" w:color="auto" w:fill="FFFFFF" w:themeFill="background1"/>
          </w:tcPr>
          <w:p w14:paraId="575627DB" w14:textId="77777777" w:rsidR="00CE1AAA" w:rsidRDefault="00625D09">
            <w:r>
              <w:t>Sprain or bruise</w:t>
            </w:r>
          </w:p>
          <w:p w14:paraId="401EE953" w14:textId="77777777" w:rsidR="00625D09" w:rsidRDefault="00625D09">
            <w:r>
              <w:t>Broken bone</w:t>
            </w:r>
          </w:p>
          <w:p w14:paraId="21D9BA0D" w14:textId="77777777" w:rsidR="00625D09" w:rsidRDefault="00625D09">
            <w:r>
              <w:t>Fracture</w:t>
            </w:r>
          </w:p>
          <w:p w14:paraId="3C5F0475" w14:textId="67AB4B5E" w:rsidR="00625D09" w:rsidRDefault="00625D09">
            <w:r>
              <w:t>Head injury, etc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76" w14:textId="12054904" w:rsidR="00CE1AAA" w:rsidRDefault="00625D09">
            <w:r>
              <w:t>Anyone taking part in the activity and the instructor.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06E4E063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6EBCAD95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1580EF5D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7" w:type="pct"/>
            <w:shd w:val="clear" w:color="auto" w:fill="FFFFFF" w:themeFill="background1"/>
          </w:tcPr>
          <w:p w14:paraId="02AAB7C0" w14:textId="77777777" w:rsidR="00CE1AAA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 xml:space="preserve">Check and remove any hazards from the training room before the session begins. </w:t>
            </w:r>
          </w:p>
          <w:p w14:paraId="2F8AF6B2" w14:textId="77777777" w:rsidR="00625D09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>Ensure participants are made aware of any trip hazards.</w:t>
            </w:r>
          </w:p>
          <w:p w14:paraId="1AC51D03" w14:textId="77777777" w:rsidR="00625D09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 xml:space="preserve">Ensure equipment is replaced in the correct area after use. </w:t>
            </w:r>
          </w:p>
          <w:p w14:paraId="3C5F047A" w14:textId="2F7B2071" w:rsidR="00625D09" w:rsidRPr="00625D09" w:rsidRDefault="00625D09">
            <w:pPr>
              <w:rPr>
                <w:rFonts w:cstheme="minorHAnsi"/>
                <w:bCs/>
              </w:rPr>
            </w:pPr>
            <w:r w:rsidRPr="00625D09">
              <w:rPr>
                <w:rFonts w:cstheme="minorHAnsi"/>
                <w:bCs/>
              </w:rPr>
              <w:t xml:space="preserve">Ensure all participants are wearing appropriate footwear before session.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0A409705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6AEE637F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566BE051" w:rsidR="00CE1AAA" w:rsidRPr="00957A37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49387A82" w14:textId="77777777" w:rsidR="00CE1AAA" w:rsidRDefault="00625D09">
            <w:r>
              <w:t>Keep any equipment not in use tidied away.</w:t>
            </w:r>
          </w:p>
          <w:p w14:paraId="3C5F047E" w14:textId="7140BF7B" w:rsidR="00625D09" w:rsidRDefault="00625D09">
            <w:r>
              <w:t xml:space="preserve">Report any additional hazards to the Wide Lane team. </w:t>
            </w:r>
          </w:p>
        </w:tc>
      </w:tr>
      <w:tr w:rsidR="00625D09" w14:paraId="0204B3D7" w14:textId="77777777" w:rsidTr="00625D09">
        <w:trPr>
          <w:cantSplit/>
          <w:trHeight w:val="1296"/>
        </w:trPr>
        <w:tc>
          <w:tcPr>
            <w:tcW w:w="595" w:type="pct"/>
            <w:shd w:val="clear" w:color="auto" w:fill="FFFFFF" w:themeFill="background1"/>
          </w:tcPr>
          <w:p w14:paraId="62EF62CD" w14:textId="35DFC848" w:rsidR="00625D09" w:rsidRDefault="00625D09">
            <w:r>
              <w:lastRenderedPageBreak/>
              <w:t>Injury from unsuitable clothing, footwear, and accessories</w:t>
            </w:r>
          </w:p>
        </w:tc>
        <w:tc>
          <w:tcPr>
            <w:tcW w:w="855" w:type="pct"/>
            <w:shd w:val="clear" w:color="auto" w:fill="FFFFFF" w:themeFill="background1"/>
          </w:tcPr>
          <w:p w14:paraId="14AE3BC0" w14:textId="7B43CEE1" w:rsidR="00625D09" w:rsidRDefault="00625D09">
            <w:r>
              <w:t>Bruises, cuts, sprains, broken bones, etc.</w:t>
            </w:r>
          </w:p>
        </w:tc>
        <w:tc>
          <w:tcPr>
            <w:tcW w:w="630" w:type="pct"/>
            <w:shd w:val="clear" w:color="auto" w:fill="FFFFFF" w:themeFill="background1"/>
          </w:tcPr>
          <w:p w14:paraId="41D617EA" w14:textId="77777777" w:rsidR="00625D09" w:rsidRDefault="00625D09">
            <w:r>
              <w:t xml:space="preserve">Individual performing exercise. </w:t>
            </w:r>
          </w:p>
          <w:p w14:paraId="7B36F017" w14:textId="2B8AD324" w:rsidR="00625D09" w:rsidRDefault="00625D09">
            <w:r>
              <w:t xml:space="preserve">People surrounding the individual. </w:t>
            </w:r>
          </w:p>
        </w:tc>
        <w:tc>
          <w:tcPr>
            <w:tcW w:w="159" w:type="pct"/>
            <w:shd w:val="clear" w:color="auto" w:fill="FFFFFF" w:themeFill="background1"/>
          </w:tcPr>
          <w:p w14:paraId="05A59D2B" w14:textId="07D2E2B3" w:rsidR="00625D09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D8B2302" w14:textId="404F9F9B" w:rsidR="00625D09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DCAD9E6" w14:textId="49AAC816" w:rsidR="00625D09" w:rsidRDefault="00625D0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60322BFB" w14:textId="77777777" w:rsidR="00625D09" w:rsidRDefault="00625D0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participants are:</w:t>
            </w:r>
          </w:p>
          <w:p w14:paraId="4EB206BE" w14:textId="77777777" w:rsidR="00625D09" w:rsidRDefault="00625D09" w:rsidP="00625D09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Wearing suitable clothing</w:t>
            </w:r>
          </w:p>
          <w:p w14:paraId="18C63C98" w14:textId="77777777" w:rsidR="00625D09" w:rsidRDefault="00625D09" w:rsidP="00625D09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Remove any </w:t>
            </w:r>
            <w:r w:rsidR="00A70733">
              <w:rPr>
                <w:rFonts w:cstheme="minorHAnsi"/>
                <w:bCs/>
              </w:rPr>
              <w:t xml:space="preserve">jewellery that could lead to injury </w:t>
            </w:r>
            <w:proofErr w:type="gramStart"/>
            <w:r w:rsidR="00A70733">
              <w:rPr>
                <w:rFonts w:cstheme="minorHAnsi"/>
                <w:bCs/>
              </w:rPr>
              <w:t>e.g.</w:t>
            </w:r>
            <w:proofErr w:type="gramEnd"/>
            <w:r w:rsidR="00A70733">
              <w:rPr>
                <w:rFonts w:cstheme="minorHAnsi"/>
                <w:bCs/>
              </w:rPr>
              <w:t xml:space="preserve"> earrings</w:t>
            </w:r>
          </w:p>
          <w:p w14:paraId="19F180E7" w14:textId="77777777" w:rsidR="00A70733" w:rsidRDefault="00A70733" w:rsidP="00625D09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Wearing their hair tied up</w:t>
            </w:r>
          </w:p>
          <w:p w14:paraId="0A15FBB0" w14:textId="4FE30A23" w:rsidR="00A70733" w:rsidRPr="00625D09" w:rsidRDefault="00A70733" w:rsidP="00625D09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Wearing appropriate shoes. </w:t>
            </w:r>
          </w:p>
        </w:tc>
        <w:tc>
          <w:tcPr>
            <w:tcW w:w="159" w:type="pct"/>
            <w:shd w:val="clear" w:color="auto" w:fill="FFFFFF" w:themeFill="background1"/>
          </w:tcPr>
          <w:p w14:paraId="08654C15" w14:textId="5408AE57" w:rsidR="00625D09" w:rsidRDefault="00A707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1247D7F" w14:textId="6C152056" w:rsidR="00625D09" w:rsidRDefault="00A707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FEF4FFF" w14:textId="01867031" w:rsidR="00625D09" w:rsidRDefault="00A707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7ADCC1D3" w14:textId="40891035" w:rsidR="00625D09" w:rsidRDefault="00A70733">
            <w:r>
              <w:t xml:space="preserve">Speak to individuals if their clothing, footwear or accessories are deemed unsuitable. </w:t>
            </w:r>
          </w:p>
        </w:tc>
      </w:tr>
      <w:tr w:rsidR="00A70733" w14:paraId="244E9B11" w14:textId="77777777" w:rsidTr="00625D09">
        <w:trPr>
          <w:cantSplit/>
          <w:trHeight w:val="1296"/>
        </w:trPr>
        <w:tc>
          <w:tcPr>
            <w:tcW w:w="595" w:type="pct"/>
            <w:shd w:val="clear" w:color="auto" w:fill="FFFFFF" w:themeFill="background1"/>
          </w:tcPr>
          <w:p w14:paraId="0D60ED95" w14:textId="2194E172" w:rsidR="00A70733" w:rsidRDefault="00A70733">
            <w:r>
              <w:t>Fire in the training facility / surrounding area</w:t>
            </w:r>
          </w:p>
        </w:tc>
        <w:tc>
          <w:tcPr>
            <w:tcW w:w="855" w:type="pct"/>
            <w:shd w:val="clear" w:color="auto" w:fill="FFFFFF" w:themeFill="background1"/>
          </w:tcPr>
          <w:p w14:paraId="5A871776" w14:textId="2838FD55" w:rsidR="00A70733" w:rsidRDefault="00A70733">
            <w:r>
              <w:t>Burns, smoke inhalation, etc.</w:t>
            </w:r>
          </w:p>
        </w:tc>
        <w:tc>
          <w:tcPr>
            <w:tcW w:w="630" w:type="pct"/>
            <w:shd w:val="clear" w:color="auto" w:fill="FFFFFF" w:themeFill="background1"/>
          </w:tcPr>
          <w:p w14:paraId="0B9BFBC3" w14:textId="1F1D9611" w:rsidR="00A70733" w:rsidRDefault="00A70733">
            <w:r>
              <w:t>Everyone partaking in the activity and the instructor(s)</w:t>
            </w:r>
          </w:p>
        </w:tc>
        <w:tc>
          <w:tcPr>
            <w:tcW w:w="159" w:type="pct"/>
            <w:shd w:val="clear" w:color="auto" w:fill="FFFFFF" w:themeFill="background1"/>
          </w:tcPr>
          <w:p w14:paraId="7A161EE9" w14:textId="4D12C4C5" w:rsidR="00A70733" w:rsidRDefault="00A707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DACBDE4" w14:textId="6413950D" w:rsidR="00A70733" w:rsidRDefault="00A707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26FDA760" w14:textId="5E4A0B9B" w:rsidR="00A70733" w:rsidRDefault="00A707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7AF71865" w14:textId="77777777" w:rsidR="00A70733" w:rsidRDefault="00A7073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all participants are aware of fire exit routes.</w:t>
            </w:r>
          </w:p>
          <w:p w14:paraId="6C0AD5A7" w14:textId="633EE7C0" w:rsidR="00A70733" w:rsidRDefault="00A7073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Keep fire exits clear of equipment or personal belongings etc. </w:t>
            </w:r>
          </w:p>
        </w:tc>
        <w:tc>
          <w:tcPr>
            <w:tcW w:w="159" w:type="pct"/>
            <w:shd w:val="clear" w:color="auto" w:fill="FFFFFF" w:themeFill="background1"/>
          </w:tcPr>
          <w:p w14:paraId="76B36851" w14:textId="7F4DAE2D" w:rsidR="00A70733" w:rsidRDefault="00A707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BB5E6FB" w14:textId="7F575292" w:rsidR="00A70733" w:rsidRDefault="00A7073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11</w:t>
            </w:r>
          </w:p>
        </w:tc>
        <w:tc>
          <w:tcPr>
            <w:tcW w:w="159" w:type="pct"/>
            <w:shd w:val="clear" w:color="auto" w:fill="FFFFFF" w:themeFill="background1"/>
          </w:tcPr>
          <w:p w14:paraId="6C6B1940" w14:textId="77777777" w:rsidR="00A70733" w:rsidRDefault="00A70733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80" w:type="pct"/>
            <w:shd w:val="clear" w:color="auto" w:fill="FFFFFF" w:themeFill="background1"/>
          </w:tcPr>
          <w:p w14:paraId="28482F27" w14:textId="77777777" w:rsidR="00A70733" w:rsidRDefault="00A70733">
            <w:r>
              <w:t xml:space="preserve">Keep record of participants present at each session. </w:t>
            </w:r>
          </w:p>
          <w:p w14:paraId="63B4A5EF" w14:textId="66021E24" w:rsidR="00A70733" w:rsidRDefault="00A70733">
            <w:r>
              <w:t xml:space="preserve">Ensure the correct fire safety equipment are present in the facility and in working condition.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70"/>
        <w:gridCol w:w="1791"/>
        <w:gridCol w:w="242"/>
        <w:gridCol w:w="945"/>
        <w:gridCol w:w="1018"/>
        <w:gridCol w:w="4229"/>
        <w:gridCol w:w="1724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lastRenderedPageBreak/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1469968C" w:rsidR="00C642F4" w:rsidRPr="00957A37" w:rsidRDefault="006704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Arrange with qualified personal trainers time slots for our sessions</w:t>
            </w:r>
          </w:p>
        </w:tc>
        <w:tc>
          <w:tcPr>
            <w:tcW w:w="602" w:type="pct"/>
          </w:tcPr>
          <w:p w14:paraId="3C5F048F" w14:textId="1D226F82" w:rsidR="00C642F4" w:rsidRPr="00957A37" w:rsidRDefault="006704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Presidents</w:t>
            </w:r>
          </w:p>
        </w:tc>
        <w:tc>
          <w:tcPr>
            <w:tcW w:w="319" w:type="pct"/>
            <w:gridSpan w:val="2"/>
          </w:tcPr>
          <w:p w14:paraId="3C5F0490" w14:textId="359C9875" w:rsidR="00C642F4" w:rsidRPr="00957A37" w:rsidRDefault="006704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Start of each semester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12DDFDC4" w:rsidR="00C642F4" w:rsidRPr="00957A37" w:rsidRDefault="006704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Organise a booking session for our sessions to comply with maximum capacity (done on </w:t>
            </w: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Spond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>)</w:t>
            </w:r>
          </w:p>
        </w:tc>
        <w:tc>
          <w:tcPr>
            <w:tcW w:w="602" w:type="pct"/>
          </w:tcPr>
          <w:p w14:paraId="3C5F0496" w14:textId="2BDD7FA8" w:rsidR="00C642F4" w:rsidRPr="00957A37" w:rsidRDefault="006704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Presidents</w:t>
            </w:r>
          </w:p>
        </w:tc>
        <w:tc>
          <w:tcPr>
            <w:tcW w:w="319" w:type="pct"/>
            <w:gridSpan w:val="2"/>
          </w:tcPr>
          <w:p w14:paraId="3C5F0497" w14:textId="3381DF95" w:rsidR="00C642F4" w:rsidRPr="00957A37" w:rsidRDefault="006704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Start of year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43F0B657" w:rsidR="00C642F4" w:rsidRPr="00957A37" w:rsidRDefault="006704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Arrange for at least one committee member to be present at each session along with the qualified personal trainer to assist with setting up and clearing up.</w:t>
            </w:r>
          </w:p>
        </w:tc>
        <w:tc>
          <w:tcPr>
            <w:tcW w:w="602" w:type="pct"/>
          </w:tcPr>
          <w:p w14:paraId="3C5F049D" w14:textId="6B771C88" w:rsidR="00C642F4" w:rsidRPr="00957A37" w:rsidRDefault="006704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Presidents</w:t>
            </w:r>
          </w:p>
        </w:tc>
        <w:tc>
          <w:tcPr>
            <w:tcW w:w="319" w:type="pct"/>
            <w:gridSpan w:val="2"/>
          </w:tcPr>
          <w:p w14:paraId="3C5F049E" w14:textId="2C642A33" w:rsidR="00C642F4" w:rsidRPr="00957A37" w:rsidRDefault="006704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Every week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2085F603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6704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Alexandra Dowell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53E5" w14:textId="77777777" w:rsidR="00590645" w:rsidRDefault="00590645" w:rsidP="00AC47B4">
      <w:pPr>
        <w:spacing w:after="0" w:line="240" w:lineRule="auto"/>
      </w:pPr>
      <w:r>
        <w:separator/>
      </w:r>
    </w:p>
  </w:endnote>
  <w:endnote w:type="continuationSeparator" w:id="0">
    <w:p w14:paraId="3A42D3C0" w14:textId="77777777" w:rsidR="00590645" w:rsidRDefault="00590645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3DBF" w14:textId="77777777" w:rsidR="00590645" w:rsidRDefault="00590645" w:rsidP="00AC47B4">
      <w:pPr>
        <w:spacing w:after="0" w:line="240" w:lineRule="auto"/>
      </w:pPr>
      <w:r>
        <w:separator/>
      </w:r>
    </w:p>
  </w:footnote>
  <w:footnote w:type="continuationSeparator" w:id="0">
    <w:p w14:paraId="24481E8E" w14:textId="77777777" w:rsidR="00590645" w:rsidRDefault="00590645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471E8"/>
    <w:multiLevelType w:val="hybridMultilevel"/>
    <w:tmpl w:val="4B4C2E70"/>
    <w:lvl w:ilvl="0" w:tplc="E5826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0300">
    <w:abstractNumId w:val="31"/>
  </w:num>
  <w:num w:numId="2" w16cid:durableId="1274358534">
    <w:abstractNumId w:val="9"/>
  </w:num>
  <w:num w:numId="3" w16cid:durableId="1606689630">
    <w:abstractNumId w:val="7"/>
  </w:num>
  <w:num w:numId="4" w16cid:durableId="1589074044">
    <w:abstractNumId w:val="11"/>
  </w:num>
  <w:num w:numId="5" w16cid:durableId="909734151">
    <w:abstractNumId w:val="12"/>
  </w:num>
  <w:num w:numId="6" w16cid:durableId="1303386628">
    <w:abstractNumId w:val="33"/>
  </w:num>
  <w:num w:numId="7" w16cid:durableId="940646109">
    <w:abstractNumId w:val="19"/>
  </w:num>
  <w:num w:numId="8" w16cid:durableId="696849563">
    <w:abstractNumId w:val="18"/>
  </w:num>
  <w:num w:numId="9" w16cid:durableId="587232225">
    <w:abstractNumId w:val="25"/>
  </w:num>
  <w:num w:numId="10" w16cid:durableId="433474472">
    <w:abstractNumId w:val="13"/>
  </w:num>
  <w:num w:numId="11" w16cid:durableId="534149800">
    <w:abstractNumId w:val="21"/>
  </w:num>
  <w:num w:numId="12" w16cid:durableId="1776947380">
    <w:abstractNumId w:val="35"/>
  </w:num>
  <w:num w:numId="13" w16cid:durableId="497035715">
    <w:abstractNumId w:val="20"/>
  </w:num>
  <w:num w:numId="14" w16cid:durableId="1416056092">
    <w:abstractNumId w:val="34"/>
  </w:num>
  <w:num w:numId="15" w16cid:durableId="1753239647">
    <w:abstractNumId w:val="1"/>
  </w:num>
  <w:num w:numId="16" w16cid:durableId="1896113878">
    <w:abstractNumId w:val="22"/>
  </w:num>
  <w:num w:numId="17" w16cid:durableId="1704011930">
    <w:abstractNumId w:val="10"/>
  </w:num>
  <w:num w:numId="18" w16cid:durableId="2108231713">
    <w:abstractNumId w:val="3"/>
  </w:num>
  <w:num w:numId="19" w16cid:durableId="2015524610">
    <w:abstractNumId w:val="17"/>
  </w:num>
  <w:num w:numId="20" w16cid:durableId="1298103485">
    <w:abstractNumId w:val="29"/>
  </w:num>
  <w:num w:numId="21" w16cid:durableId="724531107">
    <w:abstractNumId w:val="6"/>
  </w:num>
  <w:num w:numId="22" w16cid:durableId="1084841953">
    <w:abstractNumId w:val="16"/>
  </w:num>
  <w:num w:numId="23" w16cid:durableId="862403970">
    <w:abstractNumId w:val="30"/>
  </w:num>
  <w:num w:numId="24" w16cid:durableId="509107060">
    <w:abstractNumId w:val="27"/>
  </w:num>
  <w:num w:numId="25" w16cid:durableId="2105957513">
    <w:abstractNumId w:val="8"/>
  </w:num>
  <w:num w:numId="26" w16cid:durableId="1243687825">
    <w:abstractNumId w:val="28"/>
  </w:num>
  <w:num w:numId="27" w16cid:durableId="1706252565">
    <w:abstractNumId w:val="4"/>
  </w:num>
  <w:num w:numId="28" w16cid:durableId="922497492">
    <w:abstractNumId w:val="5"/>
  </w:num>
  <w:num w:numId="29" w16cid:durableId="732432044">
    <w:abstractNumId w:val="24"/>
  </w:num>
  <w:num w:numId="30" w16cid:durableId="1440028876">
    <w:abstractNumId w:val="2"/>
  </w:num>
  <w:num w:numId="31" w16cid:durableId="1519661020">
    <w:abstractNumId w:val="23"/>
  </w:num>
  <w:num w:numId="32" w16cid:durableId="1952777753">
    <w:abstractNumId w:val="26"/>
  </w:num>
  <w:num w:numId="33" w16cid:durableId="1389375350">
    <w:abstractNumId w:val="32"/>
  </w:num>
  <w:num w:numId="34" w16cid:durableId="1385180237">
    <w:abstractNumId w:val="0"/>
  </w:num>
  <w:num w:numId="35" w16cid:durableId="2037584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840097">
    <w:abstractNumId w:val="15"/>
  </w:num>
  <w:num w:numId="37" w16cid:durableId="1366175976">
    <w:abstractNumId w:val="37"/>
  </w:num>
  <w:num w:numId="38" w16cid:durableId="1479759573">
    <w:abstractNumId w:val="36"/>
  </w:num>
  <w:num w:numId="39" w16cid:durableId="145348026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5D09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04A8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4B1B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34F0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0733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Antonia Dowell</cp:lastModifiedBy>
  <cp:revision>2</cp:revision>
  <cp:lastPrinted>2016-04-18T12:10:00Z</cp:lastPrinted>
  <dcterms:created xsi:type="dcterms:W3CDTF">2023-09-11T15:12:00Z</dcterms:created>
  <dcterms:modified xsi:type="dcterms:W3CDTF">2023-09-11T15:12:00Z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