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4808"/>
        <w:gridCol w:w="2653"/>
        <w:gridCol w:w="974"/>
        <w:gridCol w:w="2185"/>
      </w:tblGrid>
      <w:tr w:rsidR="00364C3F" w14:paraId="55B665CB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62F7C110" w14:textId="77777777" w:rsidR="00364C3F" w:rsidRDefault="003C379A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364C3F" w14:paraId="1490576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0C01E" w14:textId="1425A14D" w:rsidR="00364C3F" w:rsidRDefault="00365A2C" w:rsidP="00561815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proofErr w:type="spellStart"/>
            <w:r>
              <w:rPr>
                <w:rFonts w:ascii="Verdana" w:eastAsia="Verdana" w:hAnsi="Verdana" w:cs="Verdana"/>
                <w:i/>
              </w:rPr>
              <w:t>MedSoc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</w:t>
            </w:r>
            <w:r w:rsidR="003C379A">
              <w:rPr>
                <w:rFonts w:ascii="Verdana" w:eastAsia="Verdana" w:hAnsi="Verdana" w:cs="Verdana"/>
                <w:i/>
              </w:rPr>
              <w:t>Bake Sale</w:t>
            </w:r>
          </w:p>
          <w:p w14:paraId="3F22BB9A" w14:textId="21FBFDE5" w:rsidR="00561815" w:rsidRPr="00365A2C" w:rsidRDefault="00365A2C" w:rsidP="00365A2C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Wednesday 11</w:t>
            </w:r>
            <w:r w:rsidRPr="00365A2C">
              <w:rPr>
                <w:rFonts w:ascii="Verdana" w:eastAsia="Verdana" w:hAnsi="Verdana" w:cs="Verdana"/>
                <w:i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i/>
              </w:rPr>
              <w:t xml:space="preserve"> October 12:30-16:30 SUSU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3C70E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293E2504" w:rsidR="00364C3F" w:rsidRPr="00365A2C" w:rsidRDefault="00365A2C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05/10/2023</w:t>
            </w:r>
          </w:p>
        </w:tc>
      </w:tr>
      <w:tr w:rsidR="00364C3F" w14:paraId="3F59396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07FC08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C74C9" w14:textId="36715989" w:rsidR="00364C3F" w:rsidRDefault="00365A2C">
            <w:pPr>
              <w:spacing w:after="0" w:line="240" w:lineRule="auto"/>
              <w:ind w:left="170"/>
            </w:pPr>
            <w:proofErr w:type="spellStart"/>
            <w:r>
              <w:rPr>
                <w:rFonts w:ascii="Verdana" w:eastAsia="Verdana" w:hAnsi="Verdana" w:cs="Verdana"/>
                <w:b/>
              </w:rPr>
              <w:t>M</w:t>
            </w:r>
            <w:r w:rsidRPr="00365A2C">
              <w:rPr>
                <w:rFonts w:ascii="Verdana" w:eastAsia="Verdana" w:hAnsi="Verdana" w:cs="Verdana"/>
                <w:b/>
              </w:rPr>
              <w:t>edSoc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2468C" w14:textId="14CE1BD9" w:rsidR="00364C3F" w:rsidRDefault="00365A2C" w:rsidP="00365A2C">
            <w:pPr>
              <w:spacing w:after="0" w:line="240" w:lineRule="auto"/>
            </w:pPr>
            <w:r>
              <w:t>Malika Patel</w:t>
            </w:r>
          </w:p>
        </w:tc>
      </w:tr>
      <w:tr w:rsidR="00364C3F" w14:paraId="0EADE89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14715AF4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0F6EBBBD" w:rsidR="00364C3F" w:rsidRPr="00365A2C" w:rsidRDefault="00365A2C">
            <w:pPr>
              <w:spacing w:after="0" w:line="240" w:lineRule="auto"/>
              <w:ind w:left="170"/>
            </w:pPr>
            <w:r>
              <w:t>Becca Heritage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052" w14:textId="0B82F632" w:rsidR="00364C3F" w:rsidRDefault="00561815">
            <w:pPr>
              <w:spacing w:after="0" w:line="240" w:lineRule="auto"/>
              <w:ind w:left="170"/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  <w:r>
              <w:t xml:space="preserve"> </w:t>
            </w: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25B07012" w14:textId="59B9E5FE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4BB914D1" w14:textId="5CD71587" w:rsidR="00561815" w:rsidRPr="00561815" w:rsidRDefault="00561815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  <w:r w:rsidRPr="00314311">
        <w:rPr>
          <w:rFonts w:ascii="Verdana" w:eastAsia="Verdana" w:hAnsi="Verdana" w:cs="Verdana"/>
          <w:iCs/>
          <w:color w:val="FF0000"/>
          <w:highlight w:val="yellow"/>
        </w:rPr>
        <w:t>Level 2 food hygiene certificates need to be sent to the Activities team</w:t>
      </w:r>
      <w:r w:rsidR="00314311">
        <w:rPr>
          <w:rFonts w:ascii="Verdana" w:eastAsia="Verdana" w:hAnsi="Verdana" w:cs="Verdana"/>
          <w:iCs/>
          <w:color w:val="FF0000"/>
          <w:highlight w:val="yellow"/>
        </w:rPr>
        <w:t xml:space="preserve"> suactivities@soton.ac.uk</w:t>
      </w:r>
      <w:r w:rsidRPr="00314311">
        <w:rPr>
          <w:rFonts w:ascii="Verdana" w:eastAsia="Verdana" w:hAnsi="Verdana" w:cs="Verdana"/>
          <w:iCs/>
          <w:color w:val="FF0000"/>
          <w:highlight w:val="yellow"/>
        </w:rPr>
        <w:t xml:space="preserve"> (internal fundraiser) or the RAG team</w:t>
      </w:r>
      <w:r w:rsidR="00314311">
        <w:rPr>
          <w:rFonts w:ascii="Verdana" w:eastAsia="Verdana" w:hAnsi="Verdana" w:cs="Verdana"/>
          <w:iCs/>
          <w:color w:val="FF0000"/>
          <w:highlight w:val="yellow"/>
        </w:rPr>
        <w:t xml:space="preserve"> rag@susu.org</w:t>
      </w:r>
      <w:r w:rsidRPr="00314311">
        <w:rPr>
          <w:rFonts w:ascii="Verdana" w:eastAsia="Verdana" w:hAnsi="Verdana" w:cs="Verdana"/>
          <w:iCs/>
          <w:color w:val="FF0000"/>
          <w:highlight w:val="yellow"/>
        </w:rPr>
        <w:t xml:space="preserve"> (charity fundraiser) before the activity. Food hygiene training can be completed</w:t>
      </w:r>
      <w:r w:rsidRPr="00561815">
        <w:rPr>
          <w:rFonts w:ascii="Verdana" w:eastAsia="Verdana" w:hAnsi="Verdana" w:cs="Verdana"/>
          <w:iCs/>
          <w:color w:val="FF0000"/>
        </w:rPr>
        <w:t xml:space="preserve"> </w:t>
      </w: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16"/>
        <w:gridCol w:w="567"/>
        <w:gridCol w:w="567"/>
        <w:gridCol w:w="567"/>
        <w:gridCol w:w="4285"/>
      </w:tblGrid>
      <w:tr w:rsidR="00364C3F" w14:paraId="24F8727F" w14:textId="77777777" w:rsidTr="003C379A">
        <w:trPr>
          <w:trHeight w:val="1"/>
        </w:trPr>
        <w:tc>
          <w:tcPr>
            <w:tcW w:w="14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14:paraId="4EAF5389" w14:textId="77777777" w:rsidTr="00087CBD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087CB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C379A" w14:paraId="1451CDDB" w14:textId="77777777" w:rsidTr="00087CBD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087CBD" w14:paraId="653189C6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2DBF7" w14:textId="27372B5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Serving and preparation of food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718FB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Allergies </w:t>
            </w:r>
          </w:p>
          <w:p w14:paraId="7BD5FD44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B6220B9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  <w:p w14:paraId="238D6D3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A4CD8D" w14:textId="5E8E3F5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E4E85" w14:textId="12208FD3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73C46" w14:textId="063A535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04237" w14:textId="069CFC18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FC802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</w:t>
            </w:r>
          </w:p>
          <w:p w14:paraId="7428E3C4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precautions should be made by those with appropriate food hygiene training (Level 2 +)</w:t>
            </w:r>
          </w:p>
          <w:p w14:paraId="5FB6DDBF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</w:t>
            </w:r>
          </w:p>
          <w:p w14:paraId="0565D8DC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0BD90A55" w14:textId="26B4774E" w:rsidR="00087CBD" w:rsidRP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E03E5" w14:textId="5575C96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837B1" w14:textId="22BBF3F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9D506C" w14:textId="1F8B477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ECE8F" w14:textId="2544E38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78ABF1D8" w14:textId="4CE5C1B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5F23383E" w14:textId="7769D291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SUSU incident report procedure </w:t>
            </w:r>
          </w:p>
        </w:tc>
      </w:tr>
      <w:tr w:rsidR="00087CBD" w14:paraId="56A6B1D5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0D10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7940F307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4BB85A0A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7A630D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00EF86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4FF1D167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AFB419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0F601E" w14:textId="77777777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3F88FE35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58D1F68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1FA9EB1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16A5F8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18487DEE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013DF4A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569ECD5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BAF5DC7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21AD7030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01BADD67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78CC6226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DE52AD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6DBD45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9DCE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B900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088A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62B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3615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B63A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B613A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36CDBA33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0D6CFEFD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297ED5D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DD60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94E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4F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098BD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7A4055E3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112BD8DC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5A2B18E8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426763D5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087CBD" w14:paraId="6F034C16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2C03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477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20B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6374277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A676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EBC1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2324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037B9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7BF66AD4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376D30D1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72F687AE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76C0228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9B33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D2FE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3927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718D4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182053EF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2B40C647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087CBD" w14:paraId="54493912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1B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BBD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22DE4EF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891D4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834C65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BA9F5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223B75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61EC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8145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1D34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2498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26AD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49F471C5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41BD71E0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BC67A04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3A48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C786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5118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EC57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9E9AD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6667952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33CC57FB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D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9F268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43DECD24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5FA9F" w14:textId="77777777" w:rsidR="00087CBD" w:rsidRDefault="00087CBD" w:rsidP="007A49A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399C68C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B5010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FEB4622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FEE7BC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B0ED9F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87CBD" w14:paraId="736F4DDF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A59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F12E4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63D48D77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6C4409DC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B31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599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8FF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D8B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734C0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308F8EE8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be kept in lockable box</w:t>
            </w:r>
          </w:p>
          <w:p w14:paraId="0E6A1601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16DACEED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possible offer option to pre-buy tickets to avoid cash purchases</w:t>
            </w:r>
          </w:p>
          <w:p w14:paraId="6341142A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use of SUSU box office, hire/loan of contactless payment machines</w:t>
            </w:r>
          </w:p>
          <w:p w14:paraId="52AF86B1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Money to not be left unattended</w:t>
            </w:r>
          </w:p>
          <w:p w14:paraId="32CF22AC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1E9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0912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E79D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5D93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335A18C6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227533F5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556F1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FBC7CC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B4D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B7CA45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51D77382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1773624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4DC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9152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E167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1D3F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E603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584CCBA8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152DCB0B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food hygiene certificates and event risk assessment to be approved by activities team</w:t>
            </w:r>
          </w:p>
          <w:p w14:paraId="18D324C3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Sealed collection buckets with charity banner to be requested and collected from SUSU activities/RAG office at an agreed time (office hours, Mon-Fri 9-5)</w:t>
            </w:r>
          </w:p>
          <w:p w14:paraId="0A0D8F7D" w14:textId="77777777" w:rsidR="00087CBD" w:rsidRDefault="00087CBD" w:rsidP="007A49A3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45467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0E91A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620C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4A18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6729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26F8E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64286F6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7E47351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CCD59D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C4EDEE4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9C0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A2C7E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79904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0B7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0778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6FF3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CABF66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Collection buckets to remain sealed and to not be left unattended</w:t>
            </w:r>
          </w:p>
          <w:p w14:paraId="211DAD9C" w14:textId="665F366D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Collectors will prioritise own safety, advised to not confront any potential thief. If confronted will give up the funds.</w:t>
            </w:r>
          </w:p>
          <w:p w14:paraId="450271CB" w14:textId="77777777" w:rsidR="00087CBD" w:rsidRPr="003C379A" w:rsidRDefault="00087CBD" w:rsidP="007A49A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time for return of funds and buckets to activities team who will deposit funds and make payment to the charity.</w:t>
            </w:r>
          </w:p>
          <w:p w14:paraId="09D44075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Nominated person will be tasked with storing cash in nominated location when SUSU office not open.</w:t>
            </w:r>
          </w:p>
          <w:p w14:paraId="6DB7F36C" w14:textId="77777777" w:rsidR="00087CBD" w:rsidRDefault="00087CBD" w:rsidP="00087CBD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2BD9B427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1077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E8757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F00FA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95724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4DBDC865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CB647" w14:textId="055CB5C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4D487" w14:textId="653E1D84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A9DDC3" w14:textId="42E5CFA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AD6DD0" w14:textId="685FEBC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AA00D" w14:textId="0E83910A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AE43F" w14:textId="78F5F34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9D13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CEAA0" w14:textId="7646108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1D152" w14:textId="05C8753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7FE6D" w14:textId="42B71C60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A2E1D0" w14:textId="4002B3C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4FBA5C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08FD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AC34F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19C37AE1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B4DC0A8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70E4F2B3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FBF0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4F1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67C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0F48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109ED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62A695B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2BCBB99F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419CDE8E" w14:textId="77777777" w:rsidR="00087CBD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hydrate </w:t>
            </w:r>
          </w:p>
          <w:p w14:paraId="3A12C6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D59D3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0DA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6A5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2787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374A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087CBD" w14:paraId="4BC82676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270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EF595" w14:textId="77777777" w:rsidR="00087CBD" w:rsidRDefault="00087CBD" w:rsidP="007A49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03E4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1176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AE74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7CF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EEE50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3DB94B67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88E8E2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5FF1336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F00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C34E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690B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B37B7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E2542E5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668415BE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4430FF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0F72D987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4B7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02D4" w14:textId="77777777" w:rsidR="00087CBD" w:rsidRDefault="00087CBD" w:rsidP="007A49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D366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C56B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BA1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BF2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1D2CA" w14:textId="0245E2AC" w:rsidR="00087CBD" w:rsidRPr="00087CBD" w:rsidRDefault="00087CBD" w:rsidP="007A49A3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601953BE" w14:textId="46354C46" w:rsidR="00087CBD" w:rsidRPr="00087CBD" w:rsidRDefault="00087CBD" w:rsidP="007A49A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UoS Security Teams informed of the event</w:t>
            </w:r>
          </w:p>
          <w:p w14:paraId="2FEA54EC" w14:textId="505E88A7" w:rsidR="00087CBD" w:rsidRPr="00087CBD" w:rsidRDefault="00087CBD" w:rsidP="007A49A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6CE81E0F" w14:textId="7C2FA446" w:rsidR="00087CBD" w:rsidRPr="00087CBD" w:rsidRDefault="00087CBD" w:rsidP="007A49A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1FD608E2" w14:textId="77777777" w:rsidR="00087CBD" w:rsidRDefault="00087CBD" w:rsidP="007A49A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F7B1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171D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98C0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E3F4B" w14:textId="77777777" w:rsidR="00087CBD" w:rsidRDefault="00087CBD" w:rsidP="007A49A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8EC3A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F60D8F" w14:textId="77777777" w:rsidR="00087CBD" w:rsidRDefault="00087CBD" w:rsidP="007A49A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SUSSSED </w:t>
            </w:r>
          </w:p>
        </w:tc>
      </w:tr>
      <w:tr w:rsidR="00087CBD" w14:paraId="58C237AC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DAD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A8EC5" w14:textId="77777777" w:rsidR="00087CBD" w:rsidRDefault="00087CBD" w:rsidP="007A49A3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3E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064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15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AEB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C5568" w14:textId="06E158AD" w:rsidR="00087CBD" w:rsidRPr="003C379A" w:rsidRDefault="00087CBD" w:rsidP="007A49A3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7D642C77" w14:textId="5C0D767B" w:rsidR="00087CBD" w:rsidRPr="003C379A" w:rsidRDefault="00087CBD" w:rsidP="007A49A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5316F883" w14:textId="4661209F" w:rsidR="00087CBD" w:rsidRPr="003C379A" w:rsidRDefault="00087CBD" w:rsidP="007A49A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1DB8782C" w14:textId="10EBDDA3" w:rsidR="00087CBD" w:rsidRPr="003C379A" w:rsidRDefault="00087CBD" w:rsidP="007A49A3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48E6EFD3" w14:textId="77777777" w:rsidR="00087CBD" w:rsidRDefault="00087CBD" w:rsidP="007A49A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B423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782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58E5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34BEC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244450D0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6BDCF841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72CB467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29117E5B" w14:textId="77777777" w:rsidR="00087CBD" w:rsidRDefault="00087CBD" w:rsidP="00087CB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1F291F9C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07AE602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7AB0EF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0869AA98" w14:textId="77777777" w:rsidR="00087CBD" w:rsidRDefault="00087CBD" w:rsidP="00087CBD">
            <w:pPr>
              <w:spacing w:after="0" w:line="240" w:lineRule="auto"/>
            </w:pPr>
          </w:p>
        </w:tc>
      </w:tr>
      <w:tr w:rsidR="00087CBD" w14:paraId="136C4E70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481D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5AFD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4FD8387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8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E2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B6394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7D3D2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5FBD4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3 representatives to be at the stall at any one time</w:t>
            </w:r>
          </w:p>
          <w:p w14:paraId="623AB401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formed </w:t>
            </w:r>
          </w:p>
          <w:p w14:paraId="011868DA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clear </w:t>
            </w:r>
          </w:p>
          <w:p w14:paraId="207B288C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organisers /volunteers do not block walkways when engaging with attendees</w:t>
            </w:r>
          </w:p>
          <w:p w14:paraId="2FCF42ED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points </w:t>
            </w:r>
          </w:p>
          <w:p w14:paraId="3D4748B0" w14:textId="77777777" w:rsidR="00087CBD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C6E2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B9B9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D221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26ABB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43056A9D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1D7EB5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E7AF263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9CC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310E3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76DBB844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663906CE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701A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1DF6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4C5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EADF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519C6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Tables to be safely secured by staff where possible – ask for support from facilities team</w:t>
            </w:r>
          </w:p>
          <w:p w14:paraId="514AA57C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surface </w:t>
            </w:r>
          </w:p>
          <w:p w14:paraId="37BB56E5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290168A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18CA3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2DAB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CF7B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91175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E3FA2BF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A5373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6284E6B2" w14:textId="77777777" w:rsidTr="00087CBD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27CC3" w14:textId="2624FA28" w:rsidR="00314311" w:rsidRDefault="00314311" w:rsidP="003143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D94ABD" w14:textId="739DA8B8" w:rsidR="00314311" w:rsidRDefault="00314311" w:rsidP="00314311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4FEEA" w14:textId="025E9308" w:rsidR="00314311" w:rsidRDefault="00314311" w:rsidP="003143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43112" w14:textId="77777777" w:rsidR="00314311" w:rsidRDefault="00314311" w:rsidP="00314311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5B661D" w14:textId="77777777" w:rsidR="00314311" w:rsidRDefault="00314311" w:rsidP="00314311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6959ED" w14:textId="77777777" w:rsidR="00314311" w:rsidRDefault="00314311" w:rsidP="00314311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ABA872" w14:textId="013B5AE0" w:rsidR="00314311" w:rsidRDefault="00314311" w:rsidP="00365A2C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A04F7" w14:textId="77777777" w:rsidR="00314311" w:rsidRDefault="00314311" w:rsidP="00314311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4D52C4" w14:textId="77777777" w:rsidR="00314311" w:rsidRDefault="00314311" w:rsidP="00314311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6D1DA5" w14:textId="77777777" w:rsidR="00314311" w:rsidRDefault="00314311" w:rsidP="00314311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700C2" w14:textId="5D19E2FF" w:rsidR="00314311" w:rsidRDefault="00314311" w:rsidP="00365A2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</w:tbl>
    <w:p w14:paraId="4DB1C09E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758"/>
        <w:gridCol w:w="1568"/>
        <w:gridCol w:w="1116"/>
        <w:gridCol w:w="1547"/>
        <w:gridCol w:w="1278"/>
        <w:gridCol w:w="2491"/>
        <w:gridCol w:w="1412"/>
      </w:tblGrid>
      <w:tr w:rsidR="00364C3F" w14:paraId="2248DF8D" w14:textId="77777777" w:rsidTr="00210322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0288D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364C3F" w14:paraId="154AD9A0" w14:textId="77777777" w:rsidTr="00210322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4DB38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14311" w14:paraId="7FAF7BDD" w14:textId="77777777" w:rsidTr="00314311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8B8046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C503A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28F741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A24232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7D239E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7032BAD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314311" w14:paraId="04EE0C06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BC55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7D651" w14:textId="43ED42E8" w:rsidR="003C379A" w:rsidRPr="00314311" w:rsidRDefault="003C379A" w:rsidP="007A49A3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 xml:space="preserve">Committee to send copies of all food hygiene training certificates to </w:t>
            </w:r>
            <w:r w:rsidR="00210322" w:rsidRPr="00314311">
              <w:rPr>
                <w:rFonts w:ascii="Calibri" w:eastAsia="Calibri" w:hAnsi="Calibri" w:cs="Calibri"/>
                <w:color w:val="000000"/>
              </w:rPr>
              <w:t>suactivities@soton.ac.uk</w:t>
            </w:r>
          </w:p>
          <w:p w14:paraId="1842D2E5" w14:textId="77777777" w:rsidR="00364C3F" w:rsidRPr="00314311" w:rsidRDefault="00364C3F" w:rsidP="003C379A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4BF8" w14:textId="0027BCD9" w:rsidR="00364C3F" w:rsidRPr="00365A2C" w:rsidRDefault="00365A2C">
            <w:pPr>
              <w:spacing w:after="0" w:line="240" w:lineRule="auto"/>
            </w:pPr>
            <w:r>
              <w:t>Malika Patel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C4C74" w14:textId="71DE72E8" w:rsidR="00364C3F" w:rsidRPr="00365A2C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DAC12" w14:textId="31EF0439" w:rsidR="00364C3F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11/10/2023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15A3" w14:textId="3D9192B8" w:rsidR="00364C3F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Completed</w:t>
            </w:r>
          </w:p>
        </w:tc>
      </w:tr>
      <w:tr w:rsidR="00314311" w14:paraId="56FFD6D6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EA25" w14:textId="2C33D903" w:rsidR="003C379A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14590" w14:textId="093B44BD" w:rsidR="003C379A" w:rsidRPr="00314311" w:rsidRDefault="003C379A" w:rsidP="007A49A3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members to create and display lists of ingredients (with allergens written in bold) at the stall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68107" w14:textId="24D20619" w:rsidR="003C379A" w:rsidRPr="00365A2C" w:rsidRDefault="00365A2C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Malika Patel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0A99C" w14:textId="5D93D19A" w:rsidR="003C379A" w:rsidRPr="00365A2C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784C2" w14:textId="6946F0D3" w:rsidR="003C379A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11/10/2023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D046E" w14:textId="4F0FA6A7" w:rsidR="003C379A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Completed</w:t>
            </w:r>
          </w:p>
        </w:tc>
      </w:tr>
      <w:tr w:rsidR="00314311" w14:paraId="298983CD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F4C2" w14:textId="4B9374FE" w:rsidR="00364C3F" w:rsidRDefault="003C379A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8142" w14:textId="77777777" w:rsidR="00364C3F" w:rsidRDefault="003C379A" w:rsidP="00314311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7F17" w14:textId="254333ED" w:rsidR="00364C3F" w:rsidRPr="00365A2C" w:rsidRDefault="00365A2C">
            <w:pPr>
              <w:spacing w:after="0" w:line="240" w:lineRule="auto"/>
            </w:pPr>
            <w:r>
              <w:t>Malika Patel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8573" w14:textId="734CA599" w:rsidR="00364C3F" w:rsidRPr="00365A2C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5C6D" w14:textId="23A4C154" w:rsidR="00364C3F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11/10/2023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A9" w14:textId="2F43B22D" w:rsidR="00364C3F" w:rsidRDefault="00365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Completed</w:t>
            </w:r>
          </w:p>
        </w:tc>
      </w:tr>
      <w:tr w:rsidR="00314311" w14:paraId="0A0B9F2C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111D" w14:textId="77777777" w:rsidR="00364C3F" w:rsidRDefault="00364C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3D82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F7201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58AC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7CD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C894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0322" w14:paraId="2E140C1B" w14:textId="77777777" w:rsidTr="00314311">
        <w:trPr>
          <w:cantSplit/>
          <w:trHeight w:val="1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3CE92" w14:textId="0881FFF5" w:rsidR="00210322" w:rsidRDefault="00A675B8" w:rsidP="00365A2C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E45072F" wp14:editId="473A221F">
                      <wp:simplePos x="0" y="0"/>
                      <wp:positionH relativeFrom="column">
                        <wp:posOffset>5351389</wp:posOffset>
                      </wp:positionH>
                      <wp:positionV relativeFrom="paragraph">
                        <wp:posOffset>190682</wp:posOffset>
                      </wp:positionV>
                      <wp:extent cx="1378080" cy="437400"/>
                      <wp:effectExtent l="25400" t="38100" r="31750" b="33020"/>
                      <wp:wrapNone/>
                      <wp:docPr id="153877827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8080" cy="437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6B1CE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421pt;margin-top:14.65pt;width:109.2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">
                      <v:imagedata r:id="rId16" o:title=""/>
                    </v:shape>
                  </w:pict>
                </mc:Fallback>
              </mc:AlternateContent>
            </w:r>
            <w:r w:rsidR="00210322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210322"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>committee member</w:t>
            </w:r>
            <w:r w:rsidR="00210322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210322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365A2C">
              <w:rPr>
                <w:noProof/>
              </w:rPr>
              <w:drawing>
                <wp:inline distT="0" distB="0" distL="0" distR="0" wp14:anchorId="0B57F0B3" wp14:editId="0F01F93E">
                  <wp:extent cx="1310588" cy="666750"/>
                  <wp:effectExtent l="0" t="0" r="4445" b="0"/>
                  <wp:docPr id="941013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13848" name="Picture 94101384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5" t="24691" r="26041" b="30401"/>
                          <a:stretch/>
                        </pic:blipFill>
                        <pic:spPr bwMode="auto">
                          <a:xfrm>
                            <a:off x="0" y="0"/>
                            <a:ext cx="1329646" cy="676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8FD6A" w14:textId="16F8C031" w:rsidR="00A675B8" w:rsidRDefault="00210322" w:rsidP="00A675B8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 xml:space="preserve">committee member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7D187381" w14:textId="1C3BCFBD" w:rsidR="00210322" w:rsidRDefault="00A675B8" w:rsidP="00210322">
            <w:pPr>
              <w:spacing w:after="0" w:line="240" w:lineRule="auto"/>
            </w:pPr>
            <w:r>
              <w:t xml:space="preserve"> </w:t>
            </w:r>
          </w:p>
        </w:tc>
      </w:tr>
      <w:tr w:rsidR="00210322" w14:paraId="7F507068" w14:textId="77777777" w:rsidTr="00314311">
        <w:trPr>
          <w:cantSplit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1458B" w14:textId="69B27B3E" w:rsidR="00210322" w:rsidRPr="00365A2C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365A2C">
              <w:rPr>
                <w:rFonts w:ascii="Lucida Sans" w:eastAsia="Lucida Sans" w:hAnsi="Lucida Sans" w:cs="Lucida Sans"/>
              </w:rPr>
              <w:t>Malika Patel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C840" w14:textId="00A23837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65A2C" w:rsidRPr="00365A2C">
              <w:rPr>
                <w:rFonts w:ascii="Lucida Sans" w:eastAsia="Lucida Sans" w:hAnsi="Lucida Sans" w:cs="Lucida Sans"/>
              </w:rPr>
              <w:t>05/10/2023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2885" w14:textId="579B7B6E" w:rsidR="00210322" w:rsidRPr="00A675B8" w:rsidRDefault="00210322" w:rsidP="00210322">
            <w:pPr>
              <w:spacing w:after="0" w:line="240" w:lineRule="auto"/>
              <w:rPr>
                <w:color w:val="000000" w:themeColor="text1"/>
              </w:rPr>
            </w:pPr>
            <w:r w:rsidRPr="00A675B8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Print name:</w:t>
            </w:r>
            <w:r w:rsidRPr="00A675B8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A675B8" w:rsidRPr="00A675B8">
              <w:rPr>
                <w:rFonts w:ascii="Lucida Sans" w:eastAsia="Lucida Sans" w:hAnsi="Lucida Sans" w:cs="Lucida Sans"/>
                <w:color w:val="000000" w:themeColor="text1"/>
              </w:rPr>
              <w:t>Becca Heritage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F7E62" w14:textId="4E5517E8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675B8">
              <w:rPr>
                <w:rFonts w:ascii="Lucida Sans" w:eastAsia="Times New Roman" w:hAnsi="Lucida Sans" w:cs="Arial"/>
                <w:color w:val="000000"/>
                <w:szCs w:val="20"/>
              </w:rPr>
              <w:t>5/10/23</w:t>
            </w:r>
          </w:p>
        </w:tc>
      </w:tr>
    </w:tbl>
    <w:p w14:paraId="5E8AA319" w14:textId="11D5F83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89F309D" w14:textId="6E18D571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9C14B28" w14:textId="176D2828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1AA4C37" w14:textId="0D3AB0FA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FA415E1" w14:textId="74E80EE9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590E700" w14:textId="22FAA346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45677B8" w14:textId="043B85AB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A83B0F5" w14:textId="77777777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417"/>
        <w:gridCol w:w="498"/>
        <w:gridCol w:w="522"/>
        <w:gridCol w:w="344"/>
        <w:gridCol w:w="177"/>
        <w:gridCol w:w="542"/>
        <w:gridCol w:w="543"/>
        <w:gridCol w:w="1884"/>
        <w:gridCol w:w="2876"/>
        <w:gridCol w:w="4789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 w:rsidP="007A49A3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4228B11E" w:rsidR="00364C3F" w:rsidRDefault="00C34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1F9DA6" wp14:editId="0DEFA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38100" t="12700" r="44450" b="28575"/>
                  <wp:wrapTight wrapText="bothSides">
                    <wp:wrapPolygon edited="0">
                      <wp:start x="-363" y="-188"/>
                      <wp:lineTo x="-363" y="1882"/>
                      <wp:lineTo x="1089" y="2824"/>
                      <wp:lineTo x="1089" y="4894"/>
                      <wp:lineTo x="2541" y="5835"/>
                      <wp:lineTo x="2541" y="7906"/>
                      <wp:lineTo x="3993" y="8847"/>
                      <wp:lineTo x="3993" y="10729"/>
                      <wp:lineTo x="5687" y="11859"/>
                      <wp:lineTo x="5687" y="13929"/>
                      <wp:lineTo x="7018" y="14871"/>
                      <wp:lineTo x="7018" y="16753"/>
                      <wp:lineTo x="8592" y="17882"/>
                      <wp:lineTo x="8592" y="19953"/>
                      <wp:lineTo x="10044" y="20894"/>
                      <wp:lineTo x="10044" y="21647"/>
                      <wp:lineTo x="10528" y="21835"/>
                      <wp:lineTo x="11012" y="21835"/>
                      <wp:lineTo x="21903" y="-188"/>
                      <wp:lineTo x="-363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 w:rsidP="007A49A3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 w:rsidP="007A49A3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 w:rsidP="007A49A3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 w:rsidP="007A49A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 w:rsidTr="00C340EA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3F06017B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635A98A0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3E3C4A25" w14:textId="07AF18E4" w:rsidR="00C340EA" w:rsidRPr="00185766" w:rsidRDefault="00C340EA" w:rsidP="00C340EA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Risk process</w:t>
      </w:r>
    </w:p>
    <w:p w14:paraId="29F532D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3EABAA22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5AAAC041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639E58A6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CBBCCBE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5BAA793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35F8941C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1C56D64F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</w:r>
    </w:p>
    <w:p w14:paraId="73B077D2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17E56EE7" w14:textId="77777777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364C3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749721">
    <w:abstractNumId w:val="44"/>
  </w:num>
  <w:num w:numId="2" w16cid:durableId="1285650614">
    <w:abstractNumId w:val="9"/>
  </w:num>
  <w:num w:numId="3" w16cid:durableId="370158012">
    <w:abstractNumId w:val="55"/>
  </w:num>
  <w:num w:numId="4" w16cid:durableId="1830317825">
    <w:abstractNumId w:val="13"/>
  </w:num>
  <w:num w:numId="5" w16cid:durableId="1372147796">
    <w:abstractNumId w:val="30"/>
  </w:num>
  <w:num w:numId="6" w16cid:durableId="224338795">
    <w:abstractNumId w:val="8"/>
  </w:num>
  <w:num w:numId="7" w16cid:durableId="1560358715">
    <w:abstractNumId w:val="15"/>
  </w:num>
  <w:num w:numId="8" w16cid:durableId="1008140913">
    <w:abstractNumId w:val="49"/>
  </w:num>
  <w:num w:numId="9" w16cid:durableId="518737328">
    <w:abstractNumId w:val="56"/>
  </w:num>
  <w:num w:numId="10" w16cid:durableId="246960185">
    <w:abstractNumId w:val="38"/>
  </w:num>
  <w:num w:numId="11" w16cid:durableId="735667912">
    <w:abstractNumId w:val="3"/>
  </w:num>
  <w:num w:numId="12" w16cid:durableId="341276594">
    <w:abstractNumId w:val="51"/>
  </w:num>
  <w:num w:numId="13" w16cid:durableId="767194624">
    <w:abstractNumId w:val="10"/>
  </w:num>
  <w:num w:numId="14" w16cid:durableId="253517154">
    <w:abstractNumId w:val="46"/>
  </w:num>
  <w:num w:numId="15" w16cid:durableId="1616329069">
    <w:abstractNumId w:val="16"/>
  </w:num>
  <w:num w:numId="16" w16cid:durableId="1543900709">
    <w:abstractNumId w:val="21"/>
  </w:num>
  <w:num w:numId="17" w16cid:durableId="1525291263">
    <w:abstractNumId w:val="22"/>
  </w:num>
  <w:num w:numId="18" w16cid:durableId="1151631246">
    <w:abstractNumId w:val="7"/>
  </w:num>
  <w:num w:numId="19" w16cid:durableId="179470174">
    <w:abstractNumId w:val="28"/>
  </w:num>
  <w:num w:numId="20" w16cid:durableId="1886527645">
    <w:abstractNumId w:val="40"/>
  </w:num>
  <w:num w:numId="21" w16cid:durableId="1037435500">
    <w:abstractNumId w:val="24"/>
  </w:num>
  <w:num w:numId="22" w16cid:durableId="959143013">
    <w:abstractNumId w:val="27"/>
  </w:num>
  <w:num w:numId="23" w16cid:durableId="418526202">
    <w:abstractNumId w:val="36"/>
  </w:num>
  <w:num w:numId="24" w16cid:durableId="176967826">
    <w:abstractNumId w:val="32"/>
  </w:num>
  <w:num w:numId="25" w16cid:durableId="825514444">
    <w:abstractNumId w:val="0"/>
  </w:num>
  <w:num w:numId="26" w16cid:durableId="209652619">
    <w:abstractNumId w:val="53"/>
  </w:num>
  <w:num w:numId="27" w16cid:durableId="922832385">
    <w:abstractNumId w:val="50"/>
  </w:num>
  <w:num w:numId="28" w16cid:durableId="1993286815">
    <w:abstractNumId w:val="26"/>
  </w:num>
  <w:num w:numId="29" w16cid:durableId="1606619358">
    <w:abstractNumId w:val="17"/>
  </w:num>
  <w:num w:numId="30" w16cid:durableId="1381203284">
    <w:abstractNumId w:val="18"/>
  </w:num>
  <w:num w:numId="31" w16cid:durableId="1900626839">
    <w:abstractNumId w:val="12"/>
  </w:num>
  <w:num w:numId="32" w16cid:durableId="1615870326">
    <w:abstractNumId w:val="23"/>
  </w:num>
  <w:num w:numId="33" w16cid:durableId="1815177026">
    <w:abstractNumId w:val="29"/>
  </w:num>
  <w:num w:numId="34" w16cid:durableId="901713690">
    <w:abstractNumId w:val="48"/>
  </w:num>
  <w:num w:numId="35" w16cid:durableId="951861716">
    <w:abstractNumId w:val="54"/>
  </w:num>
  <w:num w:numId="36" w16cid:durableId="1382437898">
    <w:abstractNumId w:val="20"/>
  </w:num>
  <w:num w:numId="37" w16cid:durableId="891188506">
    <w:abstractNumId w:val="37"/>
  </w:num>
  <w:num w:numId="38" w16cid:durableId="1445735899">
    <w:abstractNumId w:val="39"/>
  </w:num>
  <w:num w:numId="39" w16cid:durableId="2014912202">
    <w:abstractNumId w:val="4"/>
  </w:num>
  <w:num w:numId="40" w16cid:durableId="63920512">
    <w:abstractNumId w:val="5"/>
  </w:num>
  <w:num w:numId="41" w16cid:durableId="1437673842">
    <w:abstractNumId w:val="25"/>
  </w:num>
  <w:num w:numId="42" w16cid:durableId="2087726494">
    <w:abstractNumId w:val="35"/>
  </w:num>
  <w:num w:numId="43" w16cid:durableId="180166471">
    <w:abstractNumId w:val="34"/>
  </w:num>
  <w:num w:numId="44" w16cid:durableId="47191835">
    <w:abstractNumId w:val="42"/>
  </w:num>
  <w:num w:numId="45" w16cid:durableId="857936647">
    <w:abstractNumId w:val="11"/>
  </w:num>
  <w:num w:numId="46" w16cid:durableId="1901137554">
    <w:abstractNumId w:val="43"/>
  </w:num>
  <w:num w:numId="47" w16cid:durableId="1498769275">
    <w:abstractNumId w:val="31"/>
  </w:num>
  <w:num w:numId="48" w16cid:durableId="1150901598">
    <w:abstractNumId w:val="2"/>
  </w:num>
  <w:num w:numId="49" w16cid:durableId="429855640">
    <w:abstractNumId w:val="1"/>
  </w:num>
  <w:num w:numId="50" w16cid:durableId="1683312999">
    <w:abstractNumId w:val="47"/>
  </w:num>
  <w:num w:numId="51" w16cid:durableId="358820538">
    <w:abstractNumId w:val="19"/>
  </w:num>
  <w:num w:numId="52" w16cid:durableId="556669203">
    <w:abstractNumId w:val="33"/>
  </w:num>
  <w:num w:numId="53" w16cid:durableId="640235092">
    <w:abstractNumId w:val="6"/>
  </w:num>
  <w:num w:numId="54" w16cid:durableId="1672951262">
    <w:abstractNumId w:val="14"/>
  </w:num>
  <w:num w:numId="55" w16cid:durableId="1495995754">
    <w:abstractNumId w:val="41"/>
  </w:num>
  <w:num w:numId="56" w16cid:durableId="814220078">
    <w:abstractNumId w:val="45"/>
  </w:num>
  <w:num w:numId="57" w16cid:durableId="701981468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F"/>
    <w:rsid w:val="00087CBD"/>
    <w:rsid w:val="00210322"/>
    <w:rsid w:val="00314311"/>
    <w:rsid w:val="00364C3F"/>
    <w:rsid w:val="00365A2C"/>
    <w:rsid w:val="003C379A"/>
    <w:rsid w:val="00561815"/>
    <w:rsid w:val="007A49A3"/>
    <w:rsid w:val="00A675B8"/>
    <w:rsid w:val="00C07F08"/>
    <w:rsid w:val="00C340EA"/>
    <w:rsid w:val="00E106C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openxmlformats.org/officeDocument/2006/relationships/diagramData" Target="diagrams/data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23" Type="http://schemas.openxmlformats.org/officeDocument/2006/relationships/fontTable" Target="fontTable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mailto:unisecurity@soton.ac.uk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5T16:59:22.565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1400 306 24575,'0'16'0,"0"16"0,0 16 0,0 15 0,0 4 0,0 4 0,-3 2 0,-2 0 0,-5-6 0,-3-5 0,-2-8 0,1-9 0,0-2 0,1-7 0,2-2 0,2-4 0,2 0 0,1-10 0,-2 5 0,-1-13 0,5-4 0,-1-10 0,5-15 0,0-11 0,0-11 0,0-5 0,0-10 0,2-7 0,6-4 0,5-2 0,2 11 0,1 7 0,1-7 0,1-7 0,3-8 0,-2 0 0,-4 14 0,-5 10 0,0 6 0,2 4 0,0 1 0,3 2 0,-1 6 0,3 3 0,6 2 0,7-2 0,6-2 0,7 1 0,-1 4 0,-1 6 0,-4 3 0,-3 5 0,-3 4 0,-2 2 0,-2 2 0,-6 3 0,-4 10 0,-6 8 0,-5 8 0,-5 5 0,-1 3 0,0 3 0,0-3 0,0-1 0,-4-2 0,-8-1 0,-8 1 0,-5-3 0,-3-5 0,-3-2 0,-4-2 0,-4-2 0,-1 0 0,1-8 0,4-4 0,3-6 0,-1-2 0,-2 0 0,-2 0 0,0-1 0,7-2 0,10-2 0,9-1 0,8-3 0,3-2 0,4 1 0,10 1 0,13 3 0,9 3 0,1 2 0,-6 8 0,-7 14 0,-5 16 0,-2 14 0,-2 8 0,0 8 0,-1 0 0,0-1 0,1-10 0,-4-14 0,-2-11 0,-2-10 0,-2-5 0,1-6 0,0-3 0,2-4 0,5-2 0,8-1 0,8 0 0,6-1 0,1-10 0,-1-17 0,-1-12 0,-3-12 0,3 3 0,6 3 0,7-5 0,4-4 0,4-15 0,-27 27 0,-1-4 0,-2-5 0,-2-2 0,-3-3 0,-2-1 0,-5 5 0,-4 2 0,1-28 0,-6 30 0,-4 27 0,0 20 0,0 22 0,0 19 0,-4 19 0,-4 17 0,-6 9 0,7-31 0,0 3 0,2 5 0,2 3 0,-1 6 0,3 1 0,1 1 0,2-1 0,1-9 0,2-3 0,8 35 0,2-33 0,1-27 0,-1-17 0,0-10 0,3-5 0,6-2 0,10-1 0,9-3 0,6-5 0,1-16 0,-2-18 0,-4-23 0,-6-16 0,-9-4 0,-5 1 0,-10 4 0,-6-2 0,-12-6 0,-9 0 0,-5 8 0,-3 10 0,8 13 0,6 12 0,4 13 0,3 16 0,0 14 0,0 14 0,0 16 0,0 14 0,1 22 0,5 19 0,0-32 0,1 3 0,3 7 0,2 0 0,3 2 0,0 0 0,1-3 0,-1-2 0,0-8 0,1-3 0,15 29 0,5-18 0,10-10 0,15-10 0,13-7 0,9-10 0,5-8 0,-1-7 0,7-4 0,4-1 0,-5-3 0,-12-8 0,-24-8 0,-25-10 0,-17-8 0,-17-4 0,-20-6 0,-27-7 0,-25-7 0,22 26 0,-4 1 0,-8-1 0,-4 2 0,-12-1 0,-7 3 0,18 10 0,-4 2 0,-3 3-500,-9 1 1,-4 3 0,-3 2 499,12 2 0,-4 2 0,-1 1 0,-2 1-603,-10 1 1,-1 1 0,-2 0-1,-2 1 603,17 1 0,-2 0 0,-1 0 0,1 0 0,0 0 0,-1 1 0,0-1 0,1 1 0,0 0 0,2 0 0,-13 0 0,0 0 0,3 0 0,2 1-160,13-1 1,1 0 0,3 0 0,3 0 159,-7 0 0,5 0 0,4-3 0,-12-5 0,11-1 0,-5 1 0,40-8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F9C16-28CF-4FB0-8A76-D0A4094DB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010EF-EC9D-409C-9FE9-022CB58EE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58898-25C6-4511-91FD-1F118181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Becca Heritage (rh2g18)</cp:lastModifiedBy>
  <cp:revision>2</cp:revision>
  <dcterms:created xsi:type="dcterms:W3CDTF">2023-10-05T17:00:00Z</dcterms:created>
  <dcterms:modified xsi:type="dcterms:W3CDTF">2023-10-05T17:00:00Z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